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FBD90" w14:textId="77777777" w:rsidR="00655DED" w:rsidRDefault="00655DED">
      <w:pPr>
        <w:pStyle w:val="SzvegtrzsA"/>
        <w:spacing w:after="0"/>
        <w:rPr>
          <w:rStyle w:val="Egyiksem"/>
          <w:rFonts w:ascii="Times New Roman" w:hAnsi="Times New Roman"/>
        </w:rPr>
      </w:pPr>
    </w:p>
    <w:p w14:paraId="60682DA1" w14:textId="77777777" w:rsidR="00655DED" w:rsidRDefault="00655DED">
      <w:pPr>
        <w:pStyle w:val="SzvegtrzsA"/>
        <w:spacing w:after="0"/>
        <w:jc w:val="center"/>
        <w:rPr>
          <w:rStyle w:val="Egyiksem"/>
          <w:rFonts w:ascii="Times New Roman" w:hAnsi="Times New Roman"/>
        </w:rPr>
      </w:pPr>
    </w:p>
    <w:p w14:paraId="17AB5E1F" w14:textId="77777777" w:rsidR="00655DED" w:rsidRDefault="00655DED">
      <w:pPr>
        <w:pStyle w:val="SzvegtrzsA"/>
        <w:spacing w:after="0"/>
        <w:jc w:val="center"/>
        <w:rPr>
          <w:rStyle w:val="Egyiksem"/>
          <w:rFonts w:ascii="Times New Roman" w:hAnsi="Times New Roman"/>
        </w:rPr>
      </w:pPr>
    </w:p>
    <w:p w14:paraId="24467C91" w14:textId="77777777" w:rsidR="00655DED" w:rsidRDefault="00655DED">
      <w:pPr>
        <w:pStyle w:val="SzvegtrzsA"/>
        <w:spacing w:after="0"/>
        <w:jc w:val="center"/>
        <w:rPr>
          <w:rStyle w:val="Egyiksem"/>
          <w:rFonts w:ascii="Times New Roman" w:hAnsi="Times New Roman"/>
        </w:rPr>
      </w:pPr>
    </w:p>
    <w:p w14:paraId="2DAAA280" w14:textId="77777777" w:rsidR="004D6122" w:rsidRPr="00645F04" w:rsidRDefault="004D6122" w:rsidP="004D6122">
      <w:proofErr w:type="gramStart"/>
      <w:r w:rsidRPr="00645F04">
        <w:t xml:space="preserve">APROBAT </w:t>
      </w:r>
      <w:proofErr w:type="spellStart"/>
      <w:r w:rsidRPr="00645F04">
        <w:t>prin</w:t>
      </w:r>
      <w:proofErr w:type="spellEnd"/>
      <w:r w:rsidRPr="00645F04">
        <w:t xml:space="preserve"> </w:t>
      </w:r>
      <w:proofErr w:type="spellStart"/>
      <w:r w:rsidRPr="00645F04">
        <w:t>Hotărârea</w:t>
      </w:r>
      <w:proofErr w:type="spellEnd"/>
      <w:r w:rsidRPr="00645F04">
        <w:t xml:space="preserve"> </w:t>
      </w:r>
      <w:proofErr w:type="spellStart"/>
      <w:r w:rsidRPr="00645F04">
        <w:t>Senatului</w:t>
      </w:r>
      <w:proofErr w:type="spellEnd"/>
      <w:r w:rsidRPr="00645F04">
        <w:t xml:space="preserve"> </w:t>
      </w:r>
      <w:proofErr w:type="spellStart"/>
      <w:r w:rsidRPr="00645F04">
        <w:t>nr</w:t>
      </w:r>
      <w:proofErr w:type="spellEnd"/>
      <w:r>
        <w:t>.</w:t>
      </w:r>
      <w:proofErr w:type="gramEnd"/>
      <w:r>
        <w:t xml:space="preserve"> 144</w:t>
      </w:r>
      <w:r w:rsidRPr="00645F04">
        <w:t>/11.12.2025</w:t>
      </w:r>
    </w:p>
    <w:p w14:paraId="0628CF63" w14:textId="77777777" w:rsidR="004D6122" w:rsidRPr="00A90B01" w:rsidRDefault="004D6122" w:rsidP="004D6122">
      <w:r>
        <w:t>Con</w:t>
      </w:r>
      <w:r w:rsidRPr="00645F04">
        <w:t xml:space="preserve">f. </w:t>
      </w:r>
      <w:proofErr w:type="spellStart"/>
      <w:r w:rsidRPr="00645F04">
        <w:t>univ.</w:t>
      </w:r>
      <w:proofErr w:type="spellEnd"/>
      <w:r w:rsidRPr="00645F04">
        <w:t xml:space="preserve"> </w:t>
      </w:r>
      <w:proofErr w:type="gramStart"/>
      <w:r w:rsidRPr="00645F04">
        <w:t>dr</w:t>
      </w:r>
      <w:proofErr w:type="gramEnd"/>
      <w:r w:rsidRPr="00645F04">
        <w:t xml:space="preserve">. </w:t>
      </w:r>
      <w:proofErr w:type="spellStart"/>
      <w:r>
        <w:t>Szász</w:t>
      </w:r>
      <w:proofErr w:type="spellEnd"/>
      <w:r>
        <w:t xml:space="preserve"> </w:t>
      </w:r>
      <w:proofErr w:type="spellStart"/>
      <w:r>
        <w:t>Erzsébet</w:t>
      </w:r>
      <w:proofErr w:type="spellEnd"/>
    </w:p>
    <w:p w14:paraId="66A8B5FF" w14:textId="77777777" w:rsidR="004D6122" w:rsidRPr="00645F04" w:rsidRDefault="004D6122" w:rsidP="004D6122">
      <w:proofErr w:type="spellStart"/>
      <w:r>
        <w:t>Președinte</w:t>
      </w:r>
      <w:proofErr w:type="spellEnd"/>
      <w:r>
        <w:t xml:space="preserve"> </w:t>
      </w:r>
      <w:proofErr w:type="spellStart"/>
      <w:r>
        <w:t>Senat</w:t>
      </w:r>
      <w:proofErr w:type="spellEnd"/>
    </w:p>
    <w:p w14:paraId="715AD7D8" w14:textId="77777777" w:rsidR="004D6122" w:rsidRDefault="004D6122">
      <w:pPr>
        <w:pStyle w:val="SzvegtrzsA"/>
        <w:spacing w:after="0"/>
        <w:jc w:val="center"/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</w:pPr>
    </w:p>
    <w:p w14:paraId="3F258E15" w14:textId="77777777" w:rsidR="00655DED" w:rsidRPr="00A031B4" w:rsidRDefault="007178CD">
      <w:pPr>
        <w:pStyle w:val="SzvegtrzsA"/>
        <w:spacing w:after="0"/>
        <w:jc w:val="center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bookmarkStart w:id="0" w:name="_GoBack"/>
      <w:bookmarkEnd w:id="0"/>
      <w:r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>Metodologie specific</w:t>
      </w:r>
      <w:r w:rsidRPr="00A031B4"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>ă</w:t>
      </w:r>
      <w:r w:rsidRPr="00A031B4">
        <w:rPr>
          <w:rStyle w:val="Egyiksem"/>
          <w:b/>
          <w:bCs/>
          <w:sz w:val="28"/>
          <w:szCs w:val="28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>de organizare și desfăș</w:t>
      </w:r>
      <w:r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 xml:space="preserve">urare a </w:t>
      </w:r>
    </w:p>
    <w:p w14:paraId="1EC89971" w14:textId="77777777" w:rsidR="00655DED" w:rsidRPr="00A031B4" w:rsidRDefault="007178CD">
      <w:pPr>
        <w:pStyle w:val="SzvegtrzsA"/>
        <w:spacing w:after="0"/>
        <w:jc w:val="center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A031B4"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>examenului de finalizare a studiilor pentru anul universitar 2025-2026</w:t>
      </w:r>
    </w:p>
    <w:p w14:paraId="10B3476A" w14:textId="77777777" w:rsidR="00655DED" w:rsidRPr="00A031B4" w:rsidRDefault="007178CD">
      <w:pPr>
        <w:pStyle w:val="SzvegtrzsA"/>
        <w:spacing w:after="0"/>
        <w:jc w:val="center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A031B4"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>Programul de licență</w:t>
      </w:r>
      <w:r w:rsidRPr="00A031B4">
        <w:rPr>
          <w:rStyle w:val="Egyiksem"/>
          <w:b/>
          <w:bCs/>
          <w:sz w:val="28"/>
          <w:szCs w:val="28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b/>
          <w:bCs/>
          <w:sz w:val="28"/>
          <w:szCs w:val="28"/>
          <w:lang w:val="it-IT"/>
        </w:rPr>
        <w:t>Arte Plastice (Grafică)</w:t>
      </w:r>
    </w:p>
    <w:p w14:paraId="48C76C4C" w14:textId="77777777" w:rsidR="00655DED" w:rsidRPr="00A031B4" w:rsidRDefault="00655DED">
      <w:pPr>
        <w:pStyle w:val="SzvegtrzsA"/>
        <w:spacing w:after="0"/>
        <w:jc w:val="center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259281B1" w14:textId="77777777" w:rsidR="00655DED" w:rsidRPr="00A031B4" w:rsidRDefault="00655DED">
      <w:pPr>
        <w:pStyle w:val="SzvegtrzsA"/>
        <w:spacing w:after="0"/>
        <w:jc w:val="center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0086343A" w14:textId="77777777" w:rsidR="00655DED" w:rsidRPr="00A031B4" w:rsidRDefault="00655DED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lang w:val="it-IT"/>
        </w:rPr>
      </w:pPr>
    </w:p>
    <w:p w14:paraId="378E4F24" w14:textId="77777777" w:rsidR="00655DED" w:rsidRPr="00A031B4" w:rsidRDefault="007178CD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Prezenta metodologie completează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Regulamentul de organizare și desfășurare a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examenului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>a Universit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ății Creștine Partium cu elemente specifice programului de studii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ARTE PLASTICE (GRAFICĂ) din </w:t>
      </w: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Departamentului de Arte, Facultatea de Litere ș</w:t>
      </w:r>
      <w:r>
        <w:rPr>
          <w:rStyle w:val="Egyiksem"/>
          <w:rFonts w:ascii="Times New Roman" w:hAnsi="Times New Roman"/>
          <w:b/>
          <w:bCs/>
          <w:sz w:val="24"/>
          <w:szCs w:val="24"/>
          <w:lang w:val="pt-PT"/>
        </w:rPr>
        <w:t>i Arte.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 </w:t>
      </w:r>
    </w:p>
    <w:p w14:paraId="697EE926" w14:textId="77777777" w:rsidR="00655DED" w:rsidRPr="00A031B4" w:rsidRDefault="00655DED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4C350A3" w14:textId="77777777" w:rsidR="00655DED" w:rsidRPr="00A031B4" w:rsidRDefault="007178CD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Art. 1</w:t>
      </w:r>
      <w:r w:rsidRPr="00A031B4"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13F96465" w14:textId="77777777" w:rsidR="00655DED" w:rsidRPr="00A031B4" w:rsidRDefault="007178CD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 cadrul Departamentului de Arte se organizează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nl-NL"/>
        </w:rPr>
        <w:t>examen de licen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pentru absolvenții promoției curente ș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 ai promo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iilor anterioare ale următoarelor programe de studii de licență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 xml:space="preserve">, forma de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învățământ cu frecvență: </w:t>
      </w:r>
    </w:p>
    <w:p w14:paraId="618D2EBC" w14:textId="77777777" w:rsidR="00655DED" w:rsidRPr="00A031B4" w:rsidRDefault="007178CD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A031B4"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A031B4">
        <w:rPr>
          <w:rStyle w:val="Egyiksem"/>
          <w:rFonts w:ascii="Times New Roman" w:hAnsi="Times New Roman"/>
          <w:i/>
          <w:iCs/>
          <w:sz w:val="24"/>
          <w:szCs w:val="24"/>
          <w:lang w:val="it-IT"/>
        </w:rPr>
        <w:t>Arte plastice (Grafică)</w:t>
      </w:r>
    </w:p>
    <w:p w14:paraId="0046DD69" w14:textId="77777777" w:rsidR="00655DED" w:rsidRPr="00A031B4" w:rsidRDefault="007178CD">
      <w:pPr>
        <w:pStyle w:val="SzvegtrzsA"/>
        <w:spacing w:before="240" w:after="0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Art. 2</w:t>
      </w: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ab/>
      </w:r>
    </w:p>
    <w:p w14:paraId="39A8A2F7" w14:textId="77777777" w:rsidR="00655DED" w:rsidRPr="00A031B4" w:rsidRDefault="007178CD">
      <w:pPr>
        <w:pStyle w:val="SzvegtrzsA"/>
        <w:spacing w:after="0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(1) Examenul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4"/>
          <w:szCs w:val="24"/>
          <w:lang w:val="fr-FR"/>
        </w:rPr>
        <w:t>const</w:t>
      </w:r>
      <w:proofErr w:type="spellEnd"/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</w:t>
      </w: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din 2 probe, după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cum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urmează:</w:t>
      </w:r>
    </w:p>
    <w:p w14:paraId="1580C2D0" w14:textId="77777777" w:rsidR="00655DED" w:rsidRPr="00A031B4" w:rsidRDefault="007178CD">
      <w:pPr>
        <w:pStyle w:val="SzvegtrzsA"/>
        <w:spacing w:before="108" w:after="0" w:line="349" w:lineRule="exact"/>
        <w:ind w:left="504" w:firstLine="204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Proba 1. Evaluarea cunoştinţelor fundamentale şi de specialitate; 1.1. Evaluarea cunoștințelor teoretice. 1.2. Proba practică. </w:t>
      </w:r>
    </w:p>
    <w:p w14:paraId="07BE68B4" w14:textId="77777777" w:rsidR="00655DED" w:rsidRPr="00A031B4" w:rsidRDefault="007178CD">
      <w:pPr>
        <w:pStyle w:val="SzvegtrzsA"/>
        <w:spacing w:before="108" w:after="0" w:line="349" w:lineRule="exact"/>
        <w:ind w:left="504" w:right="2160" w:firstLine="204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Proba 2. Prezentarea şi susţinerea lucrării de licență.</w:t>
      </w:r>
    </w:p>
    <w:p w14:paraId="2EC36B47" w14:textId="77777777" w:rsidR="00655DED" w:rsidRDefault="00655DED">
      <w:pPr>
        <w:pStyle w:val="Default"/>
        <w:rPr>
          <w:rStyle w:val="EgyiksemA"/>
          <w:lang w:val="fr-FR"/>
        </w:rPr>
      </w:pPr>
    </w:p>
    <w:p w14:paraId="19F74AE0" w14:textId="77777777" w:rsidR="00655DED" w:rsidRPr="00A031B4" w:rsidRDefault="007178CD">
      <w:pPr>
        <w:pStyle w:val="Default"/>
        <w:rPr>
          <w:lang w:val="it-IT"/>
        </w:rPr>
      </w:pPr>
      <w:r>
        <w:rPr>
          <w:rStyle w:val="Egyiksem"/>
          <w:lang w:val="fr-FR"/>
        </w:rPr>
        <w:t xml:space="preserve"> </w:t>
      </w:r>
      <w:r w:rsidRPr="00A031B4">
        <w:rPr>
          <w:rStyle w:val="Egyiksem"/>
          <w:lang w:val="it-IT"/>
        </w:rPr>
        <w:t>(2) Proba 1 a examenului de licență se va desfășura sub forma</w:t>
      </w:r>
      <w:r w:rsidRPr="00A031B4">
        <w:rPr>
          <w:rStyle w:val="Egyiksem"/>
          <w:lang w:val="it-IT"/>
        </w:rPr>
        <w:t xml:space="preserve"> de examen scris și sub forma unei lucrări practice. Proba 2 de prezentare și susținere a lucrării de licență/disertație este publică și se desfășoară în prezența a comisiei și a examinatului. </w:t>
      </w:r>
    </w:p>
    <w:p w14:paraId="3F00432D" w14:textId="77777777" w:rsidR="00655DED" w:rsidRPr="00A031B4" w:rsidRDefault="007178CD">
      <w:pPr>
        <w:pStyle w:val="SzvegtrzsA"/>
        <w:spacing w:before="108" w:after="0" w:line="349" w:lineRule="exact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(3) Fiecare absolvent se va legitima, înaintea unei probe de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examen, cu carnetul de student sau cartea de identitate.</w:t>
      </w:r>
    </w:p>
    <w:p w14:paraId="081DD9FC" w14:textId="77777777" w:rsidR="00655DED" w:rsidRPr="00A031B4" w:rsidRDefault="007178CD">
      <w:pPr>
        <w:pStyle w:val="SzvegtrzsA"/>
        <w:spacing w:before="108" w:after="0" w:line="349" w:lineRule="exact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Art. 3</w:t>
      </w:r>
    </w:p>
    <w:p w14:paraId="7C405AB5" w14:textId="77777777" w:rsidR="00655DED" w:rsidRPr="00A031B4" w:rsidRDefault="007178CD">
      <w:pPr>
        <w:pStyle w:val="SzvegtrzsA"/>
        <w:spacing w:after="0" w:line="349" w:lineRule="exact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(1) Subiectele aferente Probei 1.1 a examenului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vor fi formulate sub formă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de întrebări din disciplinele Istoria artei, pe baza unor tematici și a unei bibliografii postate pe site-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ul specializării cu cel puțin 6 luni înainte de data examenului de licență. </w:t>
      </w:r>
    </w:p>
    <w:p w14:paraId="4BE4BA81" w14:textId="77777777" w:rsidR="00655DED" w:rsidRPr="00A031B4" w:rsidRDefault="007178CD">
      <w:pPr>
        <w:pStyle w:val="SzvegtrzsA"/>
        <w:tabs>
          <w:tab w:val="decimal" w:pos="1440"/>
        </w:tabs>
        <w:spacing w:before="180" w:after="0" w:line="266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es-ES_tradnl"/>
        </w:rPr>
        <w:t xml:space="preserve"> (2) Proba 1.1 se va </w:t>
      </w:r>
      <w:proofErr w:type="spellStart"/>
      <w:r>
        <w:rPr>
          <w:rStyle w:val="Egyiksem"/>
          <w:rFonts w:ascii="Times New Roman" w:hAnsi="Times New Roman"/>
          <w:sz w:val="24"/>
          <w:szCs w:val="24"/>
          <w:lang w:val="es-ES_tradnl"/>
        </w:rPr>
        <w:t>desf</w:t>
      </w:r>
      <w:proofErr w:type="spellEnd"/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ăș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 xml:space="preserve">ura oral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 fața comisiei de examen.</w:t>
      </w:r>
    </w:p>
    <w:p w14:paraId="20D3BE4F" w14:textId="77777777" w:rsidR="00655DED" w:rsidRPr="00A031B4" w:rsidRDefault="007178CD">
      <w:pPr>
        <w:pStyle w:val="SzvegtrzsA"/>
        <w:tabs>
          <w:tab w:val="decimal" w:pos="1440"/>
        </w:tabs>
        <w:spacing w:before="180" w:after="0" w:line="266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lastRenderedPageBreak/>
        <w:t>(3) Proba 1.2. va fi o probă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practică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proofErr w:type="spellStart"/>
      <w:r>
        <w:rPr>
          <w:rStyle w:val="Egyiksem"/>
          <w:rFonts w:ascii="Times New Roman" w:hAnsi="Times New Roman"/>
          <w:sz w:val="24"/>
          <w:szCs w:val="24"/>
          <w:lang w:val="fr-FR"/>
        </w:rPr>
        <w:t>a</w:t>
      </w:r>
      <w:proofErr w:type="spellEnd"/>
      <w:r>
        <w:rPr>
          <w:rStyle w:val="Egyiksem"/>
          <w:rFonts w:ascii="Times New Roman" w:hAnsi="Times New Roman"/>
          <w:sz w:val="24"/>
          <w:szCs w:val="24"/>
          <w:lang w:val="fr-FR"/>
        </w:rPr>
        <w:t xml:space="preserve"> c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rei tematic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va fi decisă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de comisia de examen. Pentru realizarea lucrării practice studenții au la dispoziție 4 ore. </w:t>
      </w:r>
    </w:p>
    <w:p w14:paraId="76388F33" w14:textId="77777777" w:rsidR="00655DED" w:rsidRPr="00A031B4" w:rsidRDefault="007178CD">
      <w:pPr>
        <w:pStyle w:val="SzvegtrzsA"/>
        <w:tabs>
          <w:tab w:val="decimal" w:pos="1440"/>
        </w:tabs>
        <w:spacing w:before="180" w:after="0" w:line="266" w:lineRule="auto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Art. 4</w:t>
      </w:r>
    </w:p>
    <w:p w14:paraId="72DA81B3" w14:textId="77777777" w:rsidR="00655DED" w:rsidRPr="00A031B4" w:rsidRDefault="007178CD">
      <w:pPr>
        <w:pStyle w:val="ListParagraph"/>
        <w:numPr>
          <w:ilvl w:val="0"/>
          <w:numId w:val="2"/>
        </w:numPr>
        <w:spacing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Prezentarea şi susţinerea lucrării de licență</w:t>
      </w: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(proba 2) se desfășoară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după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 xml:space="preserve">promovarea probei 1. </w:t>
      </w:r>
    </w:p>
    <w:p w14:paraId="43AE98B4" w14:textId="77777777" w:rsidR="00655DED" w:rsidRPr="00A031B4" w:rsidRDefault="007178CD">
      <w:pPr>
        <w:pStyle w:val="ListParagraph"/>
        <w:numPr>
          <w:ilvl w:val="0"/>
          <w:numId w:val="2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Fiecărui absolvent i se vor aloca cel puțin 10 minute pentr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 xml:space="preserve">u prezentarea lucrării de licență/disertație și 5 minute pentru a răspunde întrebărilor comisiei de examen. </w:t>
      </w:r>
    </w:p>
    <w:p w14:paraId="1C2501CB" w14:textId="77777777" w:rsidR="00655DED" w:rsidRPr="00A031B4" w:rsidRDefault="007178CD">
      <w:pPr>
        <w:pStyle w:val="ListParagraph"/>
        <w:numPr>
          <w:ilvl w:val="0"/>
          <w:numId w:val="2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Nota pentru lucrarea de licență/disertație se acordă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de comisia de examen, pe baza susținerii în plenul comisiei.</w:t>
      </w:r>
    </w:p>
    <w:p w14:paraId="52C27866" w14:textId="77777777" w:rsidR="00655DED" w:rsidRDefault="007178CD">
      <w:pPr>
        <w:pStyle w:val="SzvegtrzsA"/>
        <w:spacing w:before="360" w:after="0" w:line="277" w:lineRule="exact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Art. 5</w:t>
      </w:r>
    </w:p>
    <w:p w14:paraId="0991CEFA" w14:textId="77777777" w:rsidR="00655DED" w:rsidRPr="00A031B4" w:rsidRDefault="007178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 xml:space="preserve">Lucrările de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licenţă/disertație trebuie să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respecte criteriile de formă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ș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i de conținut stabilite în ghidurile proprii ale programelor de studiu, aprobate la Consiliul Facultății..</w:t>
      </w:r>
    </w:p>
    <w:p w14:paraId="39BE1234" w14:textId="77777777" w:rsidR="00655DED" w:rsidRPr="00A031B4" w:rsidRDefault="007178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 xml:space="preserve">Coordonatorii lucrărilor de licenţă/disertație răspund în solidar cu autorii acestora de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asigurarea originalităţii conţinutului acestora.</w:t>
      </w:r>
    </w:p>
    <w:p w14:paraId="4BCD365F" w14:textId="77777777" w:rsidR="00655DED" w:rsidRPr="00A031B4" w:rsidRDefault="007178CD">
      <w:pPr>
        <w:pStyle w:val="ListParagraph"/>
        <w:numPr>
          <w:ilvl w:val="0"/>
          <w:numId w:val="4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Verificarea antiplagiat va fi realizată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de către biblioteca universitară, la solicitarea absolventului.</w:t>
      </w:r>
    </w:p>
    <w:p w14:paraId="1AABC06B" w14:textId="77777777" w:rsidR="00655DED" w:rsidRPr="00A031B4" w:rsidRDefault="007178CD">
      <w:pPr>
        <w:pStyle w:val="ListParagraph"/>
        <w:numPr>
          <w:ilvl w:val="0"/>
          <w:numId w:val="4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Coeficientul de similaritate („similarity index”) nu poate depăși 20%, iar absolventul va anexa la lucr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area sa raportul de antiplagiat semnat de conducătorul științific al lucrării.</w:t>
      </w:r>
    </w:p>
    <w:p w14:paraId="4A017D8C" w14:textId="77777777" w:rsidR="00655DED" w:rsidRDefault="007178CD">
      <w:pPr>
        <w:pStyle w:val="SzvegtrzsA"/>
        <w:spacing w:before="360" w:after="0" w:line="277" w:lineRule="exact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t>Art. 6</w:t>
      </w:r>
    </w:p>
    <w:p w14:paraId="363A31F0" w14:textId="77777777" w:rsidR="00655DED" w:rsidRPr="00A031B4" w:rsidRDefault="007178CD">
      <w:pPr>
        <w:pStyle w:val="ListParagraph"/>
        <w:numPr>
          <w:ilvl w:val="0"/>
          <w:numId w:val="6"/>
        </w:numPr>
        <w:spacing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Media unei probe se calculează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ca medie aritmetică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 xml:space="preserve">a notelor membrilor comisiei de examen. În cazul probei 1, examenul teoretic (proba 1.1.) și cel practic (proba 1.2.) au aceeași pondere în media finală. </w:t>
      </w:r>
    </w:p>
    <w:p w14:paraId="719A8200" w14:textId="77777777" w:rsidR="00655DED" w:rsidRPr="00A031B4" w:rsidRDefault="007178CD">
      <w:pPr>
        <w:pStyle w:val="ListParagraph"/>
        <w:numPr>
          <w:ilvl w:val="0"/>
          <w:numId w:val="6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Media examenului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se calculează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ca medie aritmetică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 xml:space="preserve">a rezultatelor probelor de examen. </w:t>
      </w:r>
    </w:p>
    <w:p w14:paraId="4F7A3495" w14:textId="77777777" w:rsidR="00655DED" w:rsidRPr="00A031B4" w:rsidRDefault="007178CD">
      <w:pPr>
        <w:pStyle w:val="ListParagraph"/>
        <w:numPr>
          <w:ilvl w:val="0"/>
          <w:numId w:val="6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Med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ia unei probe și media examenului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se determină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cu două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zecimale, fără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rotunjire.</w:t>
      </w:r>
    </w:p>
    <w:p w14:paraId="1E401844" w14:textId="77777777" w:rsidR="00655DED" w:rsidRPr="00A031B4" w:rsidRDefault="007178CD">
      <w:pPr>
        <w:pStyle w:val="ListParagraph"/>
        <w:numPr>
          <w:ilvl w:val="0"/>
          <w:numId w:val="6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Notele membrilor comisiei de examen, la proba 2, sunt note întregi de la 1 la 10.</w:t>
      </w:r>
    </w:p>
    <w:p w14:paraId="1BEF9DE8" w14:textId="77777777" w:rsidR="00655DED" w:rsidRPr="00A031B4" w:rsidRDefault="007178CD">
      <w:pPr>
        <w:pStyle w:val="ListParagraph"/>
        <w:numPr>
          <w:ilvl w:val="0"/>
          <w:numId w:val="6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Examenul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se consideră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promovat dacă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 xml:space="preserve">probele componente sunt promovate,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iar media examenului este de cel puțin 6,00. O probă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a examenului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se consideră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promovată, dacă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media probei este cel puțin 5,00.</w:t>
      </w:r>
    </w:p>
    <w:p w14:paraId="52897F68" w14:textId="77777777" w:rsidR="00655DED" w:rsidRPr="00A031B4" w:rsidRDefault="007178CD">
      <w:pPr>
        <w:pStyle w:val="ListParagraph"/>
        <w:numPr>
          <w:ilvl w:val="0"/>
          <w:numId w:val="6"/>
        </w:numPr>
        <w:spacing w:before="360" w:after="0" w:line="277" w:lineRule="exact"/>
        <w:jc w:val="both"/>
        <w:rPr>
          <w:rFonts w:ascii="Times New Roman" w:hAnsi="Times New Roman"/>
          <w:sz w:val="24"/>
          <w:szCs w:val="24"/>
          <w:lang w:val="it-IT"/>
        </w:rPr>
      </w:pP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Examenul de disertație se consideră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>promovat dacă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A"/>
          <w:rFonts w:ascii="Times New Roman" w:hAnsi="Times New Roman"/>
          <w:sz w:val="24"/>
          <w:szCs w:val="24"/>
          <w:lang w:val="it-IT"/>
        </w:rPr>
        <w:t xml:space="preserve">media probei, și implicit a examenului este de cel puțin 6,00. </w:t>
      </w:r>
    </w:p>
    <w:p w14:paraId="7FE9A679" w14:textId="77777777" w:rsidR="00655DED" w:rsidRPr="00A031B4" w:rsidRDefault="007178CD">
      <w:pPr>
        <w:pStyle w:val="SzvegtrzsA"/>
        <w:spacing w:before="360" w:after="0" w:line="277" w:lineRule="exact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lastRenderedPageBreak/>
        <w:t>Art. 7</w:t>
      </w:r>
    </w:p>
    <w:p w14:paraId="41A46D2A" w14:textId="77777777" w:rsidR="00655DED" w:rsidRPr="00A031B4" w:rsidRDefault="007178CD">
      <w:pPr>
        <w:pStyle w:val="SzvegtrzsA"/>
        <w:spacing w:after="0" w:line="277" w:lineRule="exact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Reglementările aplicabile pentru scenariul online sunt prevăzute în </w:t>
      </w: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Anexa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nr. 1.</w:t>
      </w:r>
    </w:p>
    <w:p w14:paraId="5BFCABD0" w14:textId="77777777" w:rsidR="00655DED" w:rsidRPr="00A031B4" w:rsidRDefault="00655DED">
      <w:pPr>
        <w:pStyle w:val="SzvegtrzsA"/>
        <w:spacing w:after="0" w:line="277" w:lineRule="exact"/>
        <w:jc w:val="both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07583650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Prevederile prezentei Metodologii se aplică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 Departamentul de Arte, Facultatea de Literatură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ș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 xml:space="preserve">i Arte,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începând cu anul universitar 2025-2026, și sunt aplicabile și a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bsolvenților care nu au susținut sau nu au promovat examenul de promovare a studiilor până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la intrarea în vigoare a acestei metodologii. </w:t>
      </w:r>
    </w:p>
    <w:p w14:paraId="5E28562E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C7F089D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07A4A13" w14:textId="4363455C" w:rsidR="00655DED" w:rsidRDefault="00A031B4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</w:rPr>
        <w:t>26</w:t>
      </w:r>
      <w:r>
        <w:rPr>
          <w:rStyle w:val="Egyiksem"/>
          <w:rFonts w:ascii="Times New Roman" w:hAnsi="Times New Roman"/>
          <w:sz w:val="24"/>
          <w:szCs w:val="24"/>
        </w:rPr>
        <w:t>.11.2025.</w:t>
      </w:r>
    </w:p>
    <w:p w14:paraId="2E7888FB" w14:textId="77777777" w:rsidR="00655DED" w:rsidRDefault="007178CD">
      <w:pPr>
        <w:pStyle w:val="SzvegtrzsA"/>
        <w:spacing w:before="120" w:after="0" w:line="240" w:lineRule="auto"/>
        <w:jc w:val="right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 xml:space="preserve">Director </w:t>
      </w:r>
      <w:proofErr w:type="spellStart"/>
      <w:r>
        <w:rPr>
          <w:rStyle w:val="Egyiksem"/>
          <w:rFonts w:ascii="Times New Roman" w:hAnsi="Times New Roman"/>
          <w:sz w:val="24"/>
          <w:szCs w:val="24"/>
        </w:rPr>
        <w:t>departament</w:t>
      </w:r>
      <w:proofErr w:type="spellEnd"/>
      <w:r>
        <w:rPr>
          <w:rStyle w:val="Egyiksem"/>
          <w:rFonts w:ascii="Times New Roman" w:hAnsi="Times New Roman"/>
          <w:sz w:val="24"/>
          <w:szCs w:val="24"/>
        </w:rPr>
        <w:t>,</w:t>
      </w:r>
    </w:p>
    <w:p w14:paraId="612BC2FF" w14:textId="77777777" w:rsidR="00655DED" w:rsidRDefault="007178CD">
      <w:pPr>
        <w:pStyle w:val="SzvegtrzsA"/>
        <w:spacing w:before="120" w:after="0" w:line="240" w:lineRule="auto"/>
        <w:jc w:val="right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Dr. Balázs Zoltán</w:t>
      </w:r>
    </w:p>
    <w:p w14:paraId="66E4AB38" w14:textId="77777777" w:rsidR="00655DED" w:rsidRDefault="00655DED">
      <w:pPr>
        <w:pStyle w:val="SzvegtrzsA"/>
        <w:spacing w:before="120" w:after="0" w:line="240" w:lineRule="auto"/>
        <w:jc w:val="right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</w:p>
    <w:p w14:paraId="6D896379" w14:textId="77777777" w:rsidR="00655DED" w:rsidRDefault="007178CD">
      <w:pPr>
        <w:pStyle w:val="SzvegtrzsA"/>
        <w:spacing w:after="0" w:line="36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</w:rPr>
        <w:t>Decan,</w:t>
      </w:r>
    </w:p>
    <w:p w14:paraId="4ABA1AE2" w14:textId="77777777" w:rsidR="00655DED" w:rsidRPr="00A031B4" w:rsidRDefault="007178CD">
      <w:pPr>
        <w:pStyle w:val="SzvegtrzsA"/>
        <w:spacing w:after="0" w:line="36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Dr. B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k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 xml:space="preserve">s </w:t>
      </w:r>
      <w:proofErr w:type="spellStart"/>
      <w:r>
        <w:rPr>
          <w:rStyle w:val="Egyiksem"/>
          <w:rFonts w:ascii="Times New Roman" w:hAnsi="Times New Roman"/>
          <w:sz w:val="24"/>
          <w:szCs w:val="24"/>
          <w:lang w:val="es-ES_tradnl"/>
        </w:rPr>
        <w:t>Borb</w:t>
      </w:r>
      <w:proofErr w:type="spellEnd"/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ála</w:t>
      </w:r>
    </w:p>
    <w:p w14:paraId="60A628BD" w14:textId="77777777" w:rsidR="00655DED" w:rsidRPr="00A031B4" w:rsidRDefault="00655DED">
      <w:pPr>
        <w:pStyle w:val="SzvegtrzsA"/>
        <w:spacing w:after="0" w:line="360" w:lineRule="auto"/>
        <w:ind w:left="360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175D64A" w14:textId="77777777" w:rsidR="00655DED" w:rsidRPr="00A031B4" w:rsidRDefault="00655DED">
      <w:pPr>
        <w:pStyle w:val="SzvegtrzsA"/>
        <w:spacing w:before="120" w:after="0" w:line="240" w:lineRule="auto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AAC9DA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30E5210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76F0D8D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A67A21F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4C32A6C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E3F3CB1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B080268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D511AC8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B7D640A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473B75C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64E3B90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24FAF98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104178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8AC7DF9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C698A15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7E30C31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C576EFE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149F325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D01A96F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3CDDCBE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B9A4190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7D1F14E" w14:textId="77777777" w:rsidR="00655DED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Style w:val="Egyiksem"/>
          <w:rFonts w:ascii="Times New Roman" w:hAnsi="Times New Roman"/>
          <w:sz w:val="24"/>
          <w:szCs w:val="24"/>
          <w:lang w:val="de-DE"/>
        </w:rPr>
        <w:t>ANEXA 1</w:t>
      </w:r>
    </w:p>
    <w:p w14:paraId="1C22F576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42F6538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de-DE"/>
        </w:rPr>
        <w:t>REGLEMENT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ĂRI ABLICABILE SCENARIULUI ONLINE</w:t>
      </w:r>
    </w:p>
    <w:p w14:paraId="294AD569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6E9DC3C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Art. 1</w:t>
      </w:r>
    </w:p>
    <w:p w14:paraId="44B2C163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 cazul desfășurării în regim on-line a examenului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prevederile organizatorice din</w:t>
      </w:r>
    </w:p>
    <w:p w14:paraId="18B1D9C5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prezenta Anexă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vor completa, sau vor prevala după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caz față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de cele în cauză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ale Metodologiei.</w:t>
      </w:r>
    </w:p>
    <w:p w14:paraId="79FC1622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Art. 2</w:t>
      </w:r>
    </w:p>
    <w:p w14:paraId="56E9FFB3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(1) Toate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probele examenului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se vor desfășura online, prin intermediul platformei</w:t>
      </w:r>
    </w:p>
    <w:p w14:paraId="6A035EDA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nl-NL"/>
        </w:rPr>
        <w:t xml:space="preserve">Google Meet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 prezența online a comisiei ș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 a candida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ilor.</w:t>
      </w:r>
    </w:p>
    <w:p w14:paraId="1E5AAF75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(2) Toate informațiile necesare desfășurării examenului de finalizare în regim online vor fi puse</w:t>
      </w:r>
    </w:p>
    <w:p w14:paraId="1809E250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la dispoziț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 xml:space="preserve">ia 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studen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ilor după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încheierea perioadei de înscriere, dar cel târziu cu 48 de ore înainte</w:t>
      </w:r>
    </w:p>
    <w:p w14:paraId="4E3BE37D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es-ES_tradnl"/>
        </w:rPr>
        <w:t>de sus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inere.</w:t>
      </w:r>
    </w:p>
    <w:p w14:paraId="6A9316BD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(3) Susținerea în varianta online a probelor examenului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se înregistrează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integral pentru</w:t>
      </w:r>
    </w:p>
    <w:p w14:paraId="27DC32D1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fiecare absolvent î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 xml:space="preserve">n parte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ș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 se arhivează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la nivel de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 facultate, cu respectarea prevederilor GDPR</w:t>
      </w:r>
    </w:p>
    <w:p w14:paraId="459653D1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 vigoare.</w:t>
      </w:r>
    </w:p>
    <w:p w14:paraId="331A553D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it-IT"/>
        </w:rPr>
        <w:t>(4) Consim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ământul candidaților cu privire la înregistrarea și arhivarea examenului de licență</w:t>
      </w:r>
    </w:p>
    <w:p w14:paraId="1444D69C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reprezintă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condi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 xml:space="preserve">ia de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înscriere la examen.</w:t>
      </w:r>
    </w:p>
    <w:p w14:paraId="2FE9E328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Art. 3</w:t>
      </w:r>
    </w:p>
    <w:p w14:paraId="3ABC501F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(1) În situația în care un candidat nu poate accesa,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din diverse motive, platforma pe care se susțin</w:t>
      </w:r>
    </w:p>
    <w:p w14:paraId="655A7FE3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examenele sau întâ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mpin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probleme tehnice legate de conexiunea la Internet, comisia de evaluare</w:t>
      </w:r>
    </w:p>
    <w:p w14:paraId="5BE9245E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poate decide asupra reprogramării studentului î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n condi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iile respectării prevederilor legate de</w:t>
      </w:r>
    </w:p>
    <w:p w14:paraId="1A25227C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pt-PT"/>
        </w:rPr>
        <w:t>desf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ășurarea exame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nului (perioadă, comisie etc.).</w:t>
      </w:r>
    </w:p>
    <w:p w14:paraId="1DA8BDF3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(2) Dacă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oportunit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ățile la domiciliu ale unui absolvent nu îi permit să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efectueze examenul de</w:t>
      </w:r>
    </w:p>
    <w:p w14:paraId="6D8BD104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finalizare online a studiilor î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n condi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ii adecvate, acesta poate solicita ca facultatea să-i ofere</w:t>
      </w:r>
    </w:p>
    <w:p w14:paraId="27DE7A12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Style w:val="Egyiksem"/>
          <w:rFonts w:ascii="Times New Roman" w:hAnsi="Times New Roman"/>
          <w:sz w:val="24"/>
          <w:szCs w:val="24"/>
          <w:lang w:val="it-IT"/>
        </w:rPr>
        <w:t>condi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ț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iile tehnice la sediul fa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cultății pe baza unei evaluă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ri individuale.</w:t>
      </w:r>
    </w:p>
    <w:p w14:paraId="1CFDC282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Art. 4</w:t>
      </w:r>
    </w:p>
    <w:p w14:paraId="4E1BB105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(1) Pe întreg parcursul evaluării cunoștințelor fundamentale și de specialitate, inclusiv în</w:t>
      </w:r>
    </w:p>
    <w:p w14:paraId="1762E4B6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intervalul acordat pentru pregătirea răspunsului, studenților le este interzis:</w:t>
      </w:r>
    </w:p>
    <w:p w14:paraId="47ECD011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a) părăsirea câmpului vizual al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examinatorilor;</w:t>
      </w:r>
    </w:p>
    <w:p w14:paraId="62F6ED9F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b) consultarea cu alte persoane aflate în aceeași încăpere sau la distanță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de acesta;</w:t>
      </w:r>
    </w:p>
    <w:p w14:paraId="3606D79C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c) oprirea microfonului și/sau a camerei.</w:t>
      </w:r>
    </w:p>
    <w:p w14:paraId="3F8A5643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(2) Dacă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pe parcursul pregătirii răspunsului subprobei 1.1. și în timpul răspunsului conexiunea</w:t>
      </w:r>
    </w:p>
    <w:p w14:paraId="391C12F8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lastRenderedPageBreak/>
        <w:t>audio-vizuală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a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studenților se întrerupe pe un interval de timp mai îndelungat, președintele</w:t>
      </w:r>
    </w:p>
    <w:p w14:paraId="05108AA4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comisiei poate dispune alegerea aleatorie a unui nou subiect.</w:t>
      </w:r>
    </w:p>
    <w:p w14:paraId="66A3612F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(3) Candidații care recurg la fraudă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sau tentativă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Style w:val="Egyiksem"/>
          <w:rFonts w:ascii="Times New Roman" w:hAnsi="Times New Roman"/>
          <w:sz w:val="24"/>
          <w:szCs w:val="24"/>
          <w:lang w:val="fr-FR"/>
        </w:rPr>
        <w:t>fraud</w:t>
      </w:r>
      <w:proofErr w:type="spellEnd"/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dovedită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vor fi eliminați din examen.</w:t>
      </w:r>
    </w:p>
    <w:p w14:paraId="24D43D57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Art. 5</w:t>
      </w:r>
    </w:p>
    <w:p w14:paraId="7D41F058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Evaluarea c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unoștințelor fundamentale se va desfăș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 xml:space="preserve">ura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 felul următor:</w:t>
      </w:r>
    </w:p>
    <w:p w14:paraId="65AE5395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a) subiectele de examen vor fi trase la sorți prin intermediul platformei random.org astfel</w:t>
      </w:r>
    </w:p>
    <w:p w14:paraId="6BC95F75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încât să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se poată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constata vizual caracterul aleatoriu al alegerii (pe ecran împărtășit);</w:t>
      </w:r>
    </w:p>
    <w:p w14:paraId="275FEDA9" w14:textId="77777777" w:rsidR="00655DED" w:rsidRPr="00A031B4" w:rsidRDefault="00655DE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62D4470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b) intervalul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 de timp acordat candidaților pentru pregătirea răspunsului ș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 r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ăspuns este</w:t>
      </w:r>
    </w:p>
    <w:p w14:paraId="31A74093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identic cu cel a desfășurării normale;</w:t>
      </w:r>
    </w:p>
    <w:p w14:paraId="7865109B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c) pe parcursul examenului se vor afla simultan 2 candidați pe platformă.</w:t>
      </w:r>
    </w:p>
    <w:p w14:paraId="583AF5E8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Art. 6</w:t>
      </w:r>
    </w:p>
    <w:p w14:paraId="68F898D3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(1) Pentru proba practică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(1.2.)  studenții vor rezolva sarc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ina trasată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astfel încât să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se afle permanent în conexiune audio/vizuală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cu membrii comisiei pe platforma Google Meet. Lucrarea finalizată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de-DE"/>
        </w:rPr>
        <w:t xml:space="preserve">o vor digitaliza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ș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i o vor trimite in momentul încheierii probei prin email comisiei de examen. </w:t>
      </w:r>
    </w:p>
    <w:p w14:paraId="240BC4CD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Art. 7</w:t>
      </w:r>
    </w:p>
    <w:p w14:paraId="7289A065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 xml:space="preserve">(1)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Prezentarea și susținerea lucrării de licență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pt-PT"/>
        </w:rPr>
        <w:t>se desf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ășoară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în aceeași sesiune cu evaluarea</w:t>
      </w:r>
    </w:p>
    <w:p w14:paraId="24DB3E2D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cunoștințelor fundamentale și de specialitate (proba 1.1.).</w:t>
      </w:r>
    </w:p>
    <w:p w14:paraId="09ED0504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(2) În situația în care candidații au pregătit materiale ilustrative (tip PowerPoint), acestea vor fi</w:t>
      </w:r>
    </w:p>
    <w:p w14:paraId="64E61490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pr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ezentate pe ecran împărtășit.</w:t>
      </w:r>
    </w:p>
    <w:p w14:paraId="69AFB54C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(3) Intervalul de timp acordat candidaților pentru prezentare ș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 r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ăspunsul la întrebările comisiei</w:t>
      </w:r>
    </w:p>
    <w:p w14:paraId="14CB0E69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este identic cu cel a desfășurării normale.</w:t>
      </w:r>
    </w:p>
    <w:p w14:paraId="4CF497E7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Art. 8</w:t>
      </w:r>
    </w:p>
    <w:p w14:paraId="5E7456E0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(1) Comisia de examen va funcționa online pe platforma Google Meet.</w:t>
      </w:r>
    </w:p>
    <w:p w14:paraId="3035C709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(2) Docu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mentele de examinare vor fi completate electronic de către membrii comisiei semnate și</w:t>
      </w:r>
    </w:p>
    <w:p w14:paraId="1A21812F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transmise electronic secretarului comisiei.</w:t>
      </w:r>
    </w:p>
    <w:p w14:paraId="1265A48B" w14:textId="77777777" w:rsidR="00655DED" w:rsidRPr="00A031B4" w:rsidRDefault="007178CD">
      <w:pPr>
        <w:pStyle w:val="SzvegtrzsA"/>
        <w:spacing w:before="120"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(3) Secretarul va întocmi rezultatele, calculează</w:t>
      </w:r>
      <w:r w:rsidRPr="00A031B4">
        <w:rPr>
          <w:rStyle w:val="Egyiksem"/>
          <w:sz w:val="24"/>
          <w:szCs w:val="24"/>
          <w:lang w:val="it-IT"/>
        </w:rPr>
        <w:t xml:space="preserve"> 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mediile ș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i tip</w:t>
      </w:r>
      <w:r w:rsidRPr="00A031B4">
        <w:rPr>
          <w:rStyle w:val="Egyiksem"/>
          <w:rFonts w:ascii="Times New Roman" w:hAnsi="Times New Roman"/>
          <w:sz w:val="24"/>
          <w:szCs w:val="24"/>
          <w:lang w:val="it-IT"/>
        </w:rPr>
        <w:t>ărește procesele-verbale,</w:t>
      </w:r>
    </w:p>
    <w:p w14:paraId="60663260" w14:textId="77777777" w:rsidR="00655DED" w:rsidRPr="00A031B4" w:rsidRDefault="00655DED">
      <w:pPr>
        <w:pStyle w:val="SzvegtrzsA"/>
        <w:spacing w:before="120" w:after="0" w:line="240" w:lineRule="auto"/>
        <w:ind w:left="360"/>
        <w:rPr>
          <w:lang w:val="it-IT"/>
        </w:rPr>
      </w:pPr>
    </w:p>
    <w:sectPr w:rsidR="00655DED" w:rsidRPr="00A031B4">
      <w:headerReference w:type="default" r:id="rId8"/>
      <w:footerReference w:type="default" r:id="rId9"/>
      <w:pgSz w:w="11900" w:h="16840"/>
      <w:pgMar w:top="1417" w:right="1274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1A4DC" w14:textId="77777777" w:rsidR="007178CD" w:rsidRDefault="007178CD">
      <w:r>
        <w:separator/>
      </w:r>
    </w:p>
  </w:endnote>
  <w:endnote w:type="continuationSeparator" w:id="0">
    <w:p w14:paraId="60A5040C" w14:textId="77777777" w:rsidR="007178CD" w:rsidRDefault="0071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30E9F" w14:textId="77777777" w:rsidR="00655DED" w:rsidRDefault="00655DED">
    <w:pPr>
      <w:pStyle w:val="Fejlcslblc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919AD" w14:textId="77777777" w:rsidR="007178CD" w:rsidRDefault="007178CD">
      <w:r>
        <w:separator/>
      </w:r>
    </w:p>
  </w:footnote>
  <w:footnote w:type="continuationSeparator" w:id="0">
    <w:p w14:paraId="734355D1" w14:textId="77777777" w:rsidR="007178CD" w:rsidRDefault="0071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982B2" w14:textId="77777777" w:rsidR="00655DED" w:rsidRDefault="007178CD">
    <w:pPr>
      <w:pStyle w:val="FejlcslblcA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561C0F" wp14:editId="3E7F4CA2">
              <wp:simplePos x="0" y="0"/>
              <wp:positionH relativeFrom="page">
                <wp:posOffset>810259</wp:posOffset>
              </wp:positionH>
              <wp:positionV relativeFrom="page">
                <wp:posOffset>449580</wp:posOffset>
              </wp:positionV>
              <wp:extent cx="6258560" cy="145034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8560" cy="145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9856" w:type="dxa"/>
                            <w:tblInd w:w="10" w:type="dxa"/>
                            <w:tbl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  <w:insideH w:val="single" w:sz="8" w:space="0" w:color="FFFFFF"/>
                              <w:insideV w:val="single" w:sz="8" w:space="0" w:color="FFFFFF"/>
                            </w:tblBorders>
                            <w:shd w:val="clear" w:color="auto" w:fill="CEDDEB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21"/>
                            <w:gridCol w:w="9635"/>
                          </w:tblGrid>
                          <w:tr w:rsidR="00655DED" w14:paraId="424683CF" w14:textId="77777777">
                            <w:trPr>
                              <w:trHeight w:val="2124"/>
                            </w:trPr>
                            <w:tc>
                              <w:tcPr>
                                <w:tcW w:w="22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4ABACF5" w14:textId="77777777" w:rsidR="00655DED" w:rsidRDefault="00655DED"/>
                            </w:tc>
                            <w:tc>
                              <w:tcPr>
                                <w:tcW w:w="96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916FF22" w14:textId="77777777" w:rsidR="00655DED" w:rsidRDefault="007178CD">
                                <w:pPr>
                                  <w:pStyle w:val="Header"/>
                                </w:pPr>
                                <w:r>
                                  <w:rPr>
                                    <w:rStyle w:val="Egyiksem"/>
                                    <w:rFonts w:ascii="Times New Roman" w:hAnsi="Times New Roman"/>
                                    <w:noProof/>
                                    <w:sz w:val="24"/>
                                    <w:szCs w:val="24"/>
                                    <w:lang w:eastAsia="en-US"/>
                                  </w:rPr>
                                  <w:drawing>
                                    <wp:inline distT="0" distB="0" distL="0" distR="0" wp14:anchorId="76D7A517" wp14:editId="49E56D13">
                                      <wp:extent cx="6762116" cy="1467487"/>
                                      <wp:effectExtent l="0" t="0" r="0" b="0"/>
                                      <wp:docPr id="1073741826" name="officeArt object" descr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6" name="officeArt object" descr="officeArt object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762116" cy="14674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63B687A" w14:textId="77777777" w:rsidR="00E953DD" w:rsidRDefault="00E953DD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63.8pt;margin-top:35.4pt;width:492.8pt;height:114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" filled="f" stroked="f">
              <v:textbox style="mso-fit-shape-to-text:t" inset="0,0,0,0">
                <w:txbxContent>
                  <w:tbl>
                    <w:tblPr>
                      <w:tblW w:w="9856" w:type="dxa"/>
                      <w:tblInd w:w="10" w:type="dxa"/>
                      <w:tblBorders>
                        <w:top w:val="single" w:sz="8" w:space="0" w:color="FFFFFF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  <w:insideH w:val="single" w:sz="8" w:space="0" w:color="FFFFFF"/>
                        <w:insideV w:val="single" w:sz="8" w:space="0" w:color="FFFFFF"/>
                      </w:tblBorders>
                      <w:shd w:val="clear" w:color="auto" w:fill="CEDDEB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21"/>
                      <w:gridCol w:w="9635"/>
                    </w:tblGrid>
                    <w:tr w:rsidR="00655DED" w14:paraId="424683CF" w14:textId="77777777">
                      <w:trPr>
                        <w:trHeight w:val="2124"/>
                      </w:trPr>
                      <w:tc>
                        <w:tcPr>
                          <w:tcW w:w="22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4ABACF5" w14:textId="77777777" w:rsidR="00655DED" w:rsidRDefault="00655DED"/>
                      </w:tc>
                      <w:tc>
                        <w:tcPr>
                          <w:tcW w:w="963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916FF22" w14:textId="77777777" w:rsidR="00655DED" w:rsidRDefault="007178CD">
                          <w:pPr>
                            <w:pStyle w:val="Header"/>
                          </w:pPr>
                          <w:r>
                            <w:rPr>
                              <w:rStyle w:val="Egyiksem"/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en-US"/>
                            </w:rPr>
                            <w:drawing>
                              <wp:inline distT="0" distB="0" distL="0" distR="0" wp14:anchorId="76D7A517" wp14:editId="49E56D13">
                                <wp:extent cx="6762116" cy="1467487"/>
                                <wp:effectExtent l="0" t="0" r="0" b="0"/>
                                <wp:docPr id="1073741826" name="officeArt object" descr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officeArt object" descr="officeArt object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62116" cy="1467487"/>
                                        </a:xfrm>
                                        <a:prstGeom prst="rect">
                                          <a:avLst/>
                                        </a:prstGeom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63B687A" w14:textId="77777777" w:rsidR="00E953DD" w:rsidRDefault="00E953DD"/>
                </w:txbxContent>
              </v:textbox>
              <w10:wrap anchorx="page" anchory="page"/>
            </v:rect>
          </w:pict>
        </mc:Fallback>
      </mc:AlternateContent>
    </w:r>
  </w:p>
  <w:p w14:paraId="1C57B5F1" w14:textId="77777777" w:rsidR="00655DED" w:rsidRDefault="00655DED">
    <w:pPr>
      <w:pStyle w:val="FejlcslblcA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6BEB98C5" w14:textId="77777777" w:rsidR="00655DED" w:rsidRDefault="00655DED">
    <w:pPr>
      <w:pStyle w:val="FejlcslblcA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48509C93" w14:textId="77777777" w:rsidR="00655DED" w:rsidRDefault="00655DED">
    <w:pPr>
      <w:pStyle w:val="FejlcslblcA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57939987" w14:textId="77777777" w:rsidR="00655DED" w:rsidRDefault="00655DED">
    <w:pPr>
      <w:pStyle w:val="FejlcslblcA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671"/>
    <w:multiLevelType w:val="hybridMultilevel"/>
    <w:tmpl w:val="2F7858D6"/>
    <w:styleLink w:val="List0"/>
    <w:lvl w:ilvl="0" w:tplc="6DFCDC34">
      <w:start w:val="1"/>
      <w:numFmt w:val="decimal"/>
      <w:lvlText w:val="(%1)"/>
      <w:lvlJc w:val="left"/>
      <w:pPr>
        <w:ind w:left="3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48F586">
      <w:start w:val="1"/>
      <w:numFmt w:val="lowerLetter"/>
      <w:lvlText w:val="%2."/>
      <w:lvlJc w:val="left"/>
      <w:pPr>
        <w:ind w:left="10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0A4C4A">
      <w:start w:val="1"/>
      <w:numFmt w:val="lowerRoman"/>
      <w:lvlText w:val="%3."/>
      <w:lvlJc w:val="left"/>
      <w:pPr>
        <w:ind w:left="176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7A4B66">
      <w:start w:val="1"/>
      <w:numFmt w:val="decimal"/>
      <w:lvlText w:val="%4."/>
      <w:lvlJc w:val="left"/>
      <w:pPr>
        <w:ind w:left="248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A07B54">
      <w:start w:val="1"/>
      <w:numFmt w:val="lowerLetter"/>
      <w:lvlText w:val="%5."/>
      <w:lvlJc w:val="left"/>
      <w:pPr>
        <w:ind w:left="320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8A7B66">
      <w:start w:val="1"/>
      <w:numFmt w:val="lowerRoman"/>
      <w:lvlText w:val="%6."/>
      <w:lvlJc w:val="left"/>
      <w:pPr>
        <w:ind w:left="392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305A54">
      <w:start w:val="1"/>
      <w:numFmt w:val="decimal"/>
      <w:lvlText w:val="%7."/>
      <w:lvlJc w:val="left"/>
      <w:pPr>
        <w:ind w:left="46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7A8B32">
      <w:start w:val="1"/>
      <w:numFmt w:val="lowerLetter"/>
      <w:lvlText w:val="%8."/>
      <w:lvlJc w:val="left"/>
      <w:pPr>
        <w:ind w:left="536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B6FD92">
      <w:start w:val="1"/>
      <w:numFmt w:val="lowerRoman"/>
      <w:lvlText w:val="%9."/>
      <w:lvlJc w:val="left"/>
      <w:pPr>
        <w:ind w:left="608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9A7342A"/>
    <w:multiLevelType w:val="hybridMultilevel"/>
    <w:tmpl w:val="28B05060"/>
    <w:numStyleLink w:val="List21"/>
  </w:abstractNum>
  <w:abstractNum w:abstractNumId="2">
    <w:nsid w:val="3FEA2892"/>
    <w:multiLevelType w:val="hybridMultilevel"/>
    <w:tmpl w:val="28B05060"/>
    <w:styleLink w:val="List21"/>
    <w:lvl w:ilvl="0" w:tplc="CE7CFBC2">
      <w:start w:val="1"/>
      <w:numFmt w:val="decimal"/>
      <w:lvlText w:val="(%1)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E254C">
      <w:start w:val="1"/>
      <w:numFmt w:val="lowerLetter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327E22">
      <w:start w:val="1"/>
      <w:numFmt w:val="lowerRoman"/>
      <w:lvlText w:val="%3."/>
      <w:lvlJc w:val="left"/>
      <w:pPr>
        <w:ind w:left="177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EB960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8C18C">
      <w:start w:val="1"/>
      <w:numFmt w:val="lowerLetter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4449DC">
      <w:start w:val="1"/>
      <w:numFmt w:val="lowerRoman"/>
      <w:lvlText w:val="%6."/>
      <w:lvlJc w:val="left"/>
      <w:pPr>
        <w:ind w:left="393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54D938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ED95C">
      <w:start w:val="1"/>
      <w:numFmt w:val="lowerLetter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C4D736">
      <w:start w:val="1"/>
      <w:numFmt w:val="lowerRoman"/>
      <w:lvlText w:val="%9."/>
      <w:lvlJc w:val="left"/>
      <w:pPr>
        <w:ind w:left="609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81B09F0"/>
    <w:multiLevelType w:val="hybridMultilevel"/>
    <w:tmpl w:val="2F7858D6"/>
    <w:numStyleLink w:val="List0"/>
  </w:abstractNum>
  <w:abstractNum w:abstractNumId="4">
    <w:nsid w:val="4CB61D84"/>
    <w:multiLevelType w:val="hybridMultilevel"/>
    <w:tmpl w:val="2EB067D2"/>
    <w:numStyleLink w:val="List1"/>
  </w:abstractNum>
  <w:abstractNum w:abstractNumId="5">
    <w:nsid w:val="72D77739"/>
    <w:multiLevelType w:val="hybridMultilevel"/>
    <w:tmpl w:val="2EB067D2"/>
    <w:styleLink w:val="List1"/>
    <w:lvl w:ilvl="0" w:tplc="60B4522E">
      <w:start w:val="1"/>
      <w:numFmt w:val="decimal"/>
      <w:lvlText w:val="(%1)"/>
      <w:lvlJc w:val="left"/>
      <w:pPr>
        <w:ind w:left="37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D89074">
      <w:start w:val="1"/>
      <w:numFmt w:val="lowerLetter"/>
      <w:lvlText w:val="%2."/>
      <w:lvlJc w:val="left"/>
      <w:pPr>
        <w:ind w:left="10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BA9F52">
      <w:start w:val="1"/>
      <w:numFmt w:val="lowerRoman"/>
      <w:lvlText w:val="%3."/>
      <w:lvlJc w:val="left"/>
      <w:pPr>
        <w:ind w:left="176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4CE642">
      <w:start w:val="1"/>
      <w:numFmt w:val="decimal"/>
      <w:lvlText w:val="%4."/>
      <w:lvlJc w:val="left"/>
      <w:pPr>
        <w:ind w:left="248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604CFE">
      <w:start w:val="1"/>
      <w:numFmt w:val="lowerLetter"/>
      <w:lvlText w:val="%5."/>
      <w:lvlJc w:val="left"/>
      <w:pPr>
        <w:ind w:left="320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C6E51A">
      <w:start w:val="1"/>
      <w:numFmt w:val="lowerRoman"/>
      <w:lvlText w:val="%6."/>
      <w:lvlJc w:val="left"/>
      <w:pPr>
        <w:ind w:left="392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5CA770">
      <w:start w:val="1"/>
      <w:numFmt w:val="decimal"/>
      <w:lvlText w:val="%7."/>
      <w:lvlJc w:val="left"/>
      <w:pPr>
        <w:ind w:left="464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C81EE">
      <w:start w:val="1"/>
      <w:numFmt w:val="lowerLetter"/>
      <w:lvlText w:val="%8."/>
      <w:lvlJc w:val="left"/>
      <w:pPr>
        <w:ind w:left="5366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CF4B8">
      <w:start w:val="1"/>
      <w:numFmt w:val="lowerRoman"/>
      <w:lvlText w:val="%9."/>
      <w:lvlJc w:val="left"/>
      <w:pPr>
        <w:ind w:left="6086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ED"/>
    <w:rsid w:val="004D6122"/>
    <w:rsid w:val="00655DED"/>
    <w:rsid w:val="00696BE9"/>
    <w:rsid w:val="007178CD"/>
    <w:rsid w:val="00A031B4"/>
    <w:rsid w:val="00A56F27"/>
    <w:rsid w:val="00E9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9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ejlcslblcA">
    <w:name w:val="Fejléc és lábléc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Egyiksem">
    <w:name w:val="Egyik sem"/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zvegtrzsA">
    <w:name w:val="Szövegtörzs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EgyiksemA">
    <w:name w:val="Egyik sem A"/>
    <w:basedOn w:val="Egyiksem"/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pPr>
      <w:numPr>
        <w:numId w:val="1"/>
      </w:numPr>
    </w:pPr>
  </w:style>
  <w:style w:type="numbering" w:customStyle="1" w:styleId="List1">
    <w:name w:val="List 1"/>
    <w:pPr>
      <w:numPr>
        <w:numId w:val="3"/>
      </w:numPr>
    </w:pPr>
  </w:style>
  <w:style w:type="numbering" w:customStyle="1" w:styleId="List21">
    <w:name w:val="List 21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2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ejlcslblcA">
    <w:name w:val="Fejléc és lábléc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Egyiksem">
    <w:name w:val="Egyik sem"/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zvegtrzsA">
    <w:name w:val="Szövegtörzs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EgyiksemA">
    <w:name w:val="Egyik sem A"/>
    <w:basedOn w:val="Egyiksem"/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pPr>
      <w:numPr>
        <w:numId w:val="1"/>
      </w:numPr>
    </w:pPr>
  </w:style>
  <w:style w:type="numbering" w:customStyle="1" w:styleId="List1">
    <w:name w:val="List 1"/>
    <w:pPr>
      <w:numPr>
        <w:numId w:val="3"/>
      </w:numPr>
    </w:pPr>
  </w:style>
  <w:style w:type="numbering" w:customStyle="1" w:styleId="List21">
    <w:name w:val="List 21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2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Hangyál Enikő</cp:lastModifiedBy>
  <cp:revision>3</cp:revision>
  <dcterms:created xsi:type="dcterms:W3CDTF">2025-11-26T07:58:00Z</dcterms:created>
  <dcterms:modified xsi:type="dcterms:W3CDTF">2025-12-11T09:42:00Z</dcterms:modified>
</cp:coreProperties>
</file>