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23124"/>
    <w:p w:rsidR="00D23124" w:rsidRDefault="00803A35">
      <w:pPr>
        <w:pStyle w:val="Cm"/>
      </w:pPr>
      <w:r>
        <w:t xml:space="preserve">Raport de autoevaluare internă a programului de studii </w:t>
      </w:r>
      <w:r w:rsidR="007F1A4F">
        <w:br/>
      </w:r>
      <w:r w:rsidR="007F1A4F">
        <w:rPr>
          <w:i/>
        </w:rPr>
        <w:t>Multilingvism și multiculturalitate</w:t>
      </w:r>
      <w:r w:rsidR="00EC4A6F">
        <w:br/>
        <w:t>anul universitar 20</w:t>
      </w:r>
      <w:r w:rsidR="00AE0A7D">
        <w:t>20</w:t>
      </w:r>
      <w:r w:rsidR="00EC4A6F">
        <w:t>/</w:t>
      </w:r>
      <w:r w:rsidR="007F1A4F">
        <w:t>20</w:t>
      </w:r>
      <w:r w:rsidR="0021363C">
        <w:t>2</w:t>
      </w:r>
      <w:r w:rsidR="00AE0A7D">
        <w:t>1</w:t>
      </w:r>
    </w:p>
    <w:p w:rsidR="00D23124" w:rsidRDefault="00803A35">
      <w:pPr>
        <w:pStyle w:val="Cmsor1"/>
      </w:pPr>
      <w:r>
        <w:t>Preambul</w:t>
      </w:r>
    </w:p>
    <w:p w:rsidR="00D23124" w:rsidRDefault="00803A35" w:rsidP="007F1A4F">
      <w:pPr>
        <w:pStyle w:val="Szvegtrzs"/>
        <w:jc w:val="both"/>
      </w:pPr>
      <w:r>
        <w:t>Raportul de autoevaluare a fost întocmit de către comisia de asigurarea a calității la nivelul progr</w:t>
      </w:r>
      <w:r>
        <w:t>a</w:t>
      </w:r>
      <w:r w:rsidR="0075436D">
        <w:t xml:space="preserve">mului de studiu </w:t>
      </w:r>
      <w:r w:rsidR="007F1A4F" w:rsidRPr="007F1A4F">
        <w:rPr>
          <w:i/>
        </w:rPr>
        <w:t>Multilingvism și multiculturalitate</w:t>
      </w:r>
      <w:r w:rsidR="0075436D">
        <w:t xml:space="preserve"> </w:t>
      </w:r>
      <w:r>
        <w:t>(</w:t>
      </w:r>
      <w:r w:rsidR="007F1A4F">
        <w:t xml:space="preserve">conf. univ. dr. </w:t>
      </w:r>
      <w:r w:rsidR="007F1A4F">
        <w:rPr>
          <w:lang w:val="hu-HU"/>
        </w:rPr>
        <w:t xml:space="preserve">János Szabolcs, </w:t>
      </w:r>
      <w:r>
        <w:t>președinte</w:t>
      </w:r>
      <w:r w:rsidR="007F1A4F">
        <w:softHyphen/>
      </w:r>
      <w:r w:rsidR="007F1A4F">
        <w:softHyphen/>
        <w:t>;</w:t>
      </w:r>
      <w:r>
        <w:t xml:space="preserve"> </w:t>
      </w:r>
      <w:r w:rsidR="007F1A4F">
        <w:t>conf. univ. dr. Bánffi-Benedek Andrea</w:t>
      </w:r>
      <w:r>
        <w:t>, mem</w:t>
      </w:r>
      <w:r w:rsidR="00D351CD">
        <w:t>bru</w:t>
      </w:r>
      <w:r w:rsidR="007F1A4F">
        <w:t>;</w:t>
      </w:r>
      <w:r w:rsidR="00D351CD">
        <w:t xml:space="preserve"> </w:t>
      </w:r>
      <w:r w:rsidR="007F1A4F">
        <w:t xml:space="preserve">lect. univ. dr. Pop Titus, </w:t>
      </w:r>
      <w:r>
        <w:t>membru). și respectă preveder</w:t>
      </w:r>
      <w:r>
        <w:t>i</w:t>
      </w:r>
      <w:r>
        <w:t>le reglementărilor universitare</w:t>
      </w:r>
      <w:r w:rsidR="00675166">
        <w:t>.</w:t>
      </w:r>
    </w:p>
    <w:p w:rsidR="00D23124" w:rsidRDefault="00803A35">
      <w:pPr>
        <w:pStyle w:val="Szvegtrzs"/>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Cmsor1"/>
      </w:pPr>
      <w:r>
        <w:t xml:space="preserve">Programul de studii </w:t>
      </w:r>
      <w:r w:rsidR="007F1A4F" w:rsidRPr="00625FD0">
        <w:rPr>
          <w:i/>
        </w:rPr>
        <w:t>Multilingvism și multiculturalitate</w:t>
      </w:r>
    </w:p>
    <w:p w:rsidR="00D23124" w:rsidRDefault="00803A35">
      <w:pPr>
        <w:pStyle w:val="Cmsor2"/>
      </w:pPr>
      <w:r>
        <w:t>Misiunea programului</w:t>
      </w:r>
    </w:p>
    <w:p w:rsidR="00D23124" w:rsidRDefault="00803A35">
      <w:pPr>
        <w:pStyle w:val="Szvegtrzs"/>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Cmsor2"/>
      </w:pPr>
      <w:r>
        <w:t>Obiective de formare</w:t>
      </w:r>
    </w:p>
    <w:p w:rsidR="0075436D" w:rsidRPr="007F1A4F" w:rsidRDefault="0075436D" w:rsidP="0075436D">
      <w:pPr>
        <w:pStyle w:val="NormlWeb"/>
        <w:jc w:val="both"/>
        <w:rPr>
          <w:lang w:val="ro-RO"/>
        </w:rPr>
      </w:pPr>
      <w:r w:rsidRPr="007F1A4F">
        <w:rPr>
          <w:lang w:val="ro-RO"/>
        </w:rPr>
        <w:t>Misiunea programului este aceea de a forma specialiști de înaltă performanță și competență, prin aprofundarea teoretică și practică în domeniul filologiei în general, a studiilor culturale și a mult</w:t>
      </w:r>
      <w:r w:rsidRPr="007F1A4F">
        <w:rPr>
          <w:lang w:val="ro-RO"/>
        </w:rPr>
        <w:t>i</w:t>
      </w:r>
      <w:r w:rsidRPr="007F1A4F">
        <w:rPr>
          <w:lang w:val="ro-RO"/>
        </w:rPr>
        <w:t>culturalității, multilingvismului și transferului cultural și lingvistic, precum și prin dezvoltarea c</w:t>
      </w:r>
      <w:r w:rsidRPr="007F1A4F">
        <w:rPr>
          <w:lang w:val="ro-RO"/>
        </w:rPr>
        <w:t>a</w:t>
      </w:r>
      <w:r w:rsidRPr="007F1A4F">
        <w:rPr>
          <w:lang w:val="ro-RO"/>
        </w:rPr>
        <w:t>pacităților de cercetare științifică.</w:t>
      </w:r>
    </w:p>
    <w:p w:rsidR="0075436D" w:rsidRPr="00625FD0" w:rsidRDefault="0075436D" w:rsidP="0075436D">
      <w:pPr>
        <w:pStyle w:val="NormlWeb"/>
        <w:jc w:val="both"/>
        <w:rPr>
          <w:lang w:val="ro-RO"/>
        </w:rPr>
      </w:pPr>
      <w:r w:rsidRPr="00625FD0">
        <w:rPr>
          <w:lang w:val="ro-RO"/>
        </w:rPr>
        <w:t xml:space="preserve">Scopul principal al programului de studii de masterat constă în pregătirea unor </w:t>
      </w:r>
      <w:r w:rsidR="00625FD0">
        <w:rPr>
          <w:lang w:val="ro-RO"/>
        </w:rPr>
        <w:t xml:space="preserve">experți </w:t>
      </w:r>
      <w:r w:rsidRPr="00625FD0">
        <w:rPr>
          <w:lang w:val="ro-RO"/>
        </w:rPr>
        <w:t xml:space="preserve">capabili să îndeplinească sarcina de </w:t>
      </w:r>
      <w:r w:rsidR="00625FD0">
        <w:rPr>
          <w:lang w:val="ro-RO"/>
        </w:rPr>
        <w:t>comunicare interculturală în limbile de studiu</w:t>
      </w:r>
      <w:r w:rsidRPr="00625FD0">
        <w:rPr>
          <w:lang w:val="ro-RO"/>
        </w:rPr>
        <w:t xml:space="preserve">. Programul de master </w:t>
      </w:r>
      <w:r w:rsidR="00625FD0" w:rsidRPr="00625FD0">
        <w:rPr>
          <w:i/>
          <w:lang w:val="ro-RO"/>
        </w:rPr>
        <w:t>Mult</w:t>
      </w:r>
      <w:r w:rsidR="00625FD0" w:rsidRPr="00625FD0">
        <w:rPr>
          <w:i/>
          <w:lang w:val="ro-RO"/>
        </w:rPr>
        <w:t>i</w:t>
      </w:r>
      <w:r w:rsidR="00625FD0" w:rsidRPr="00625FD0">
        <w:rPr>
          <w:i/>
          <w:lang w:val="ro-RO"/>
        </w:rPr>
        <w:t>lingvism și multiculturalitate</w:t>
      </w:r>
      <w:r w:rsidR="00625FD0" w:rsidRPr="00625FD0">
        <w:rPr>
          <w:lang w:val="ro-RO"/>
        </w:rPr>
        <w:t xml:space="preserve"> </w:t>
      </w:r>
      <w:r w:rsidRPr="00625FD0">
        <w:rPr>
          <w:lang w:val="ro-RO"/>
        </w:rPr>
        <w:t>este centrat pe dezvoltarea competențelor profesionale, prin actualiz</w:t>
      </w:r>
      <w:r w:rsidRPr="00625FD0">
        <w:rPr>
          <w:lang w:val="ro-RO"/>
        </w:rPr>
        <w:t>a</w:t>
      </w:r>
      <w:r w:rsidRPr="00625FD0">
        <w:rPr>
          <w:lang w:val="ro-RO"/>
        </w:rPr>
        <w:t>rea și aprofundarea competențelor de bază deja dobândite (ex., cunoașterea limbilor străine, înțel</w:t>
      </w:r>
      <w:r w:rsidRPr="00625FD0">
        <w:rPr>
          <w:lang w:val="ro-RO"/>
        </w:rPr>
        <w:t>e</w:t>
      </w:r>
      <w:r w:rsidRPr="00625FD0">
        <w:rPr>
          <w:lang w:val="ro-RO"/>
        </w:rPr>
        <w:lastRenderedPageBreak/>
        <w:t>gerea și interpretarea textelor) și prin dezvoltarea unor competențe noi (ex. dobândirea unei term</w:t>
      </w:r>
      <w:r w:rsidRPr="00625FD0">
        <w:rPr>
          <w:lang w:val="ro-RO"/>
        </w:rPr>
        <w:t>i</w:t>
      </w:r>
      <w:r w:rsidRPr="00625FD0">
        <w:rPr>
          <w:lang w:val="ro-RO"/>
        </w:rPr>
        <w:t>nologii profesionale, lărgirea cunoștințelor de bază în diferite domenii de specialitate).</w:t>
      </w:r>
    </w:p>
    <w:p w:rsidR="00D23124" w:rsidRDefault="00803A35">
      <w:pPr>
        <w:pStyle w:val="Szvegtrzs"/>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r>
        <w:rPr>
          <w:rFonts w:eastAsia="Times New Roman" w:cs="Times New Roman"/>
          <w:kern w:val="0"/>
          <w:lang w:val="en-US" w:eastAsia="en-US" w:bidi="ar-SA"/>
        </w:rPr>
        <w:t>c</w:t>
      </w:r>
      <w:r w:rsidRPr="00991F24">
        <w:rPr>
          <w:rFonts w:eastAsia="Times New Roman" w:cs="Times New Roman"/>
          <w:kern w:val="0"/>
          <w:lang w:val="en-US" w:eastAsia="en-US" w:bidi="ar-SA"/>
        </w:rPr>
        <w:t>unoașterea distincțiilor funcționale dintre unitățile comunicaționale; însușirea unor 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 operaționale specifice;</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conștientizarea rolului comunicării interculturale in viața socială, pe toate palierele acesteia;</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formarea deprinderilor de adecvare a enunțurilor orale și scrise la specificul contextului de comunicare, priceperea de a vorbi in diverse situații de comunicare, respectând normele lingvistice, ortografice și pragmatice in vigoare ale limbii engleze</w:t>
      </w:r>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Szvegtrzs"/>
      </w:pPr>
    </w:p>
    <w:p w:rsidR="00D23124" w:rsidRPr="00625FD0" w:rsidRDefault="00803A35">
      <w:pPr>
        <w:pStyle w:val="Cmsor1"/>
        <w:rPr>
          <w:i/>
        </w:rPr>
      </w:pPr>
      <w:r>
        <w:t xml:space="preserve">Evaluarea internă anuală a programului de studii </w:t>
      </w:r>
      <w:r w:rsidR="007F1A4F" w:rsidRPr="00625FD0">
        <w:rPr>
          <w:i/>
        </w:rPr>
        <w:t>Multilingvism și multiculturalitate</w:t>
      </w:r>
    </w:p>
    <w:p w:rsidR="00D23124" w:rsidRDefault="00803A35">
      <w:pPr>
        <w:pStyle w:val="Cmsor2"/>
      </w:pPr>
      <w:r>
        <w:t>Procesul de învățământ</w:t>
      </w:r>
    </w:p>
    <w:p w:rsidR="00D23124" w:rsidRDefault="00803A35">
      <w:pPr>
        <w:pStyle w:val="Cmsor3"/>
      </w:pPr>
      <w:r>
        <w:t>Structura anului universitar</w:t>
      </w:r>
    </w:p>
    <w:p w:rsidR="00D23124" w:rsidRDefault="00803A35">
      <w:pPr>
        <w:pStyle w:val="Szvegtrzs"/>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Cmsor3"/>
      </w:pPr>
      <w:r>
        <w:lastRenderedPageBreak/>
        <w:t>Practica</w:t>
      </w:r>
    </w:p>
    <w:p w:rsidR="00D23124" w:rsidRDefault="00803A35">
      <w:pPr>
        <w:pStyle w:val="Szvegtrzs"/>
      </w:pPr>
      <w:r>
        <w:t>Practica de specialitate se desfăș</w:t>
      </w:r>
      <w:r w:rsidR="0021363C">
        <w:t>oară pe parcursul semestrelor</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 Semestrul 4</w:t>
      </w:r>
      <w:r>
        <w:t xml:space="preserve"> prevede </w:t>
      </w:r>
      <w:r w:rsidR="00625FD0">
        <w:t>o perioadă de</w:t>
      </w:r>
      <w:r>
        <w:t xml:space="preserve"> prac</w:t>
      </w:r>
      <w:r w:rsidR="00991F24">
        <w:t>tică pe</w:t>
      </w:r>
      <w:r w:rsidR="00991F24">
        <w:t>n</w:t>
      </w:r>
      <w:r w:rsidR="00991F24">
        <w:t>tru finalizarea studiilor</w:t>
      </w:r>
      <w:r>
        <w:t>. Verificarea efectuării practicii de specialitate și a practi</w:t>
      </w:r>
      <w:r w:rsidR="00991F24">
        <w:t>cii pentru finalizarea studiilor</w:t>
      </w:r>
      <w:r>
        <w:t xml:space="preserve"> se realizează sub coordonarea unui cadru didactic.</w:t>
      </w:r>
    </w:p>
    <w:p w:rsidR="00D23124" w:rsidRDefault="00803A35">
      <w:pPr>
        <w:pStyle w:val="Cmsor3"/>
      </w:pPr>
      <w:r>
        <w:t>Flexibilizarea procesului educațional</w:t>
      </w:r>
    </w:p>
    <w:p w:rsidR="00D23124" w:rsidRDefault="00803A35">
      <w:pPr>
        <w:pStyle w:val="Szvegtrzs"/>
      </w:pPr>
      <w:r>
        <w:t>Flexibilizarea programului de studiu este asigurată prin discipline opționale și discipline facultative.</w:t>
      </w:r>
    </w:p>
    <w:p w:rsidR="00D23124" w:rsidRDefault="00803A35">
      <w:pPr>
        <w:pStyle w:val="Szvegtrzs"/>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 xml:space="preserve">mestru se aleg </w:t>
      </w:r>
      <w:r>
        <w:t>disc</w:t>
      </w:r>
      <w:r w:rsidR="002D2AD9">
        <w:t>ipline</w:t>
      </w:r>
      <w:r w:rsidR="00DD19F8">
        <w:t>le</w:t>
      </w:r>
      <w:r w:rsidR="002D2AD9">
        <w:t xml:space="preserve"> opționale, dintr-o listă de discipl</w:t>
      </w:r>
      <w:r w:rsidR="002D2AD9">
        <w:t>i</w:t>
      </w:r>
      <w:r w:rsidR="002D2AD9">
        <w:t>ne opționale</w:t>
      </w:r>
      <w:r>
        <w:t>:  o disc</w:t>
      </w:r>
      <w:r w:rsidR="002D2AD9">
        <w:t>iplină se formează dintr-un curs și un seminar</w:t>
      </w:r>
      <w:r w:rsidR="008B65BE">
        <w:t>.</w:t>
      </w:r>
    </w:p>
    <w:p w:rsidR="00D23124" w:rsidRDefault="00803A35">
      <w:pPr>
        <w:pStyle w:val="Szvegtrzs"/>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Szvegtrzs"/>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Szvegtrzs"/>
      </w:pPr>
      <w:r>
        <w:t>Pregătirea pentru ocuparea unui post în învățământ se face prin promovarea disciplinelor facultative care aparțin modulului pedagogic</w:t>
      </w:r>
      <w:r w:rsidR="00EB7031">
        <w:t xml:space="preserve"> (II.)</w:t>
      </w:r>
      <w:r>
        <w:t>.</w:t>
      </w:r>
    </w:p>
    <w:p w:rsidR="00D23124" w:rsidRDefault="00803A35">
      <w:pPr>
        <w:pStyle w:val="Cmsor3"/>
      </w:pPr>
      <w:r>
        <w:t>Numărul de ore, credite, bilanțuri</w:t>
      </w:r>
    </w:p>
    <w:p w:rsidR="00D23124" w:rsidRDefault="00803A35">
      <w:pPr>
        <w:pStyle w:val="Szvegtrzs"/>
      </w:pPr>
      <w:r>
        <w:t>Programul d</w:t>
      </w:r>
      <w:r w:rsidR="00A048FF">
        <w:t>e</w:t>
      </w:r>
      <w:r w:rsidR="006D50B6">
        <w:t xml:space="preserve"> studiu prevede un total de </w:t>
      </w:r>
      <w:r w:rsidR="00AE0A7D">
        <w:t>858</w:t>
      </w:r>
      <w:r w:rsidR="006D50B6">
        <w:t xml:space="preserve"> de ore, din care </w:t>
      </w:r>
      <w:r w:rsidR="00AE0A7D">
        <w:t>68,30</w:t>
      </w:r>
      <w:r w:rsidR="006D50B6">
        <w:t xml:space="preserve">% sunt obligatorii, iar </w:t>
      </w:r>
      <w:r w:rsidR="00AE0A7D">
        <w:t>31,70</w:t>
      </w:r>
      <w:r>
        <w:t>% opționale, raport de curs-practică fiind</w:t>
      </w:r>
      <w:r w:rsidR="006D50B6">
        <w:t xml:space="preserve"> de 1,</w:t>
      </w:r>
      <w:r w:rsidR="00481969">
        <w:t>2</w:t>
      </w:r>
      <w:r w:rsidR="00AE0A7D">
        <w:t>3</w:t>
      </w:r>
      <w:r w:rsidR="006D50B6">
        <w:t xml:space="preserve">. Din totalul de ore alocate </w:t>
      </w:r>
      <w:r w:rsidR="00721BEA">
        <w:t>63,</w:t>
      </w:r>
      <w:r w:rsidR="00AE0A7D">
        <w:t>64</w:t>
      </w:r>
      <w:r>
        <w:t>% sunt utilizate pe</w:t>
      </w:r>
      <w:r>
        <w:t>n</w:t>
      </w:r>
      <w:r>
        <w:t>tru dis</w:t>
      </w:r>
      <w:r w:rsidR="006D50B6">
        <w:t>ciplinele de aprofundare</w:t>
      </w:r>
      <w:r w:rsidR="00A8096E">
        <w:t>,</w:t>
      </w:r>
      <w:r w:rsidR="006D50B6">
        <w:t xml:space="preserve"> și </w:t>
      </w:r>
      <w:r w:rsidR="00721BEA">
        <w:t>36,</w:t>
      </w:r>
      <w:r w:rsidR="00AE0A7D">
        <w:t>36</w:t>
      </w:r>
      <w:r w:rsidR="006D50B6">
        <w:t xml:space="preserve">% pentru cele de sinteză. </w:t>
      </w:r>
    </w:p>
    <w:p w:rsidR="00D23124" w:rsidRDefault="00803A35">
      <w:pPr>
        <w:pStyle w:val="Szvegtrzs"/>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Cmsor3"/>
      </w:pPr>
      <w:r>
        <w:t>Respectarea standardelor ARACIS</w:t>
      </w:r>
    </w:p>
    <w:p w:rsidR="00D23124" w:rsidRDefault="00803A35">
      <w:pPr>
        <w:pStyle w:val="Szvegtrzs"/>
      </w:pPr>
      <w:r>
        <w:t>Analiza planului de învățământ demonstrează respectarea cerințelor ARACIS privind conținutul procesului de învățământ.</w:t>
      </w:r>
    </w:p>
    <w:p w:rsidR="00D23124" w:rsidRDefault="00803A35">
      <w:pPr>
        <w:pStyle w:val="Cmsor2"/>
      </w:pPr>
      <w:r>
        <w:t>Resursa umană</w:t>
      </w:r>
    </w:p>
    <w:p w:rsidR="00D23124" w:rsidRDefault="00803A35">
      <w:pPr>
        <w:pStyle w:val="Cmsor3"/>
      </w:pPr>
      <w:r>
        <w:t>Prezentare generală</w:t>
      </w:r>
    </w:p>
    <w:p w:rsidR="00D23124" w:rsidRDefault="00803A35">
      <w:pPr>
        <w:pStyle w:val="Szvegtrzs"/>
      </w:pPr>
      <w:r>
        <w:t>În anul universitar 2</w:t>
      </w:r>
      <w:r w:rsidR="00741FC6">
        <w:t>0</w:t>
      </w:r>
      <w:r w:rsidR="00AE0A7D">
        <w:t>20</w:t>
      </w:r>
      <w:r w:rsidR="00741FC6">
        <w:t>/</w:t>
      </w:r>
      <w:r w:rsidR="00741FC6" w:rsidRPr="00086F76">
        <w:t>20</w:t>
      </w:r>
      <w:r w:rsidR="00AE0A7D">
        <w:t>21</w:t>
      </w:r>
      <w:r w:rsidR="00436D78" w:rsidRPr="00086F76">
        <w:t xml:space="preserve"> specializare</w:t>
      </w:r>
      <w:r w:rsidR="00A1637B" w:rsidRPr="00086F76">
        <w:t>a</w:t>
      </w:r>
      <w:r w:rsidR="00436D78" w:rsidRPr="00086F76">
        <w:t xml:space="preserve"> </w:t>
      </w:r>
      <w:r w:rsidR="00054CF0" w:rsidRPr="00086F76">
        <w:t xml:space="preserve">de </w:t>
      </w:r>
      <w:r w:rsidR="007F1A4F" w:rsidRPr="00721BEA">
        <w:rPr>
          <w:i/>
        </w:rPr>
        <w:t>Multilingvism și multiculturalitate</w:t>
      </w:r>
      <w:r w:rsidR="006A39A7" w:rsidRPr="00086F76">
        <w:t xml:space="preserve"> a fost deservită de </w:t>
      </w:r>
      <w:r w:rsidR="00086F76" w:rsidRPr="00086F76">
        <w:t>16</w:t>
      </w:r>
      <w:r w:rsidRPr="00086F76">
        <w:t xml:space="preserve"> de cadre didacti</w:t>
      </w:r>
      <w:r w:rsidR="008F58CE" w:rsidRPr="00086F76">
        <w:t>ce, din ca</w:t>
      </w:r>
      <w:r w:rsidR="00054CF0" w:rsidRPr="00086F76">
        <w:t xml:space="preserve">re </w:t>
      </w:r>
      <w:r w:rsidR="008B3D17">
        <w:t>15</w:t>
      </w:r>
      <w:r w:rsidR="00D87063" w:rsidRPr="00086F76">
        <w:t xml:space="preserve"> titulari și </w:t>
      </w:r>
      <w:r w:rsidR="008B3D17">
        <w:t>4</w:t>
      </w:r>
      <w:r w:rsidRPr="00086F76">
        <w:t xml:space="preserve"> asociați ori asociați cu contract de muncă pe perioada </w:t>
      </w:r>
      <w:r w:rsidRPr="00086F76">
        <w:lastRenderedPageBreak/>
        <w:t xml:space="preserve">determinată. Cadrele didactice au provenit de la </w:t>
      </w:r>
      <w:r w:rsidR="00222EE7" w:rsidRPr="00086F76">
        <w:t xml:space="preserve">Departamentul </w:t>
      </w:r>
      <w:r w:rsidR="00222EE7">
        <w:t>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086F76" w:rsidP="00086F76">
            <w:pPr>
              <w:pStyle w:val="TableContents"/>
              <w:jc w:val="center"/>
            </w:pPr>
            <w:r>
              <w:t>1</w:t>
            </w:r>
          </w:p>
        </w:tc>
        <w:tc>
          <w:tcPr>
            <w:tcW w:w="1295" w:type="dxa"/>
            <w:tcBorders>
              <w:left w:val="single" w:sz="4" w:space="0" w:color="000000"/>
              <w:bottom w:val="single" w:sz="4" w:space="0" w:color="000000"/>
              <w:right w:val="single" w:sz="4" w:space="0" w:color="000000"/>
            </w:tcBorders>
            <w:vAlign w:val="bottom"/>
          </w:tcPr>
          <w:p w:rsidR="00436D78" w:rsidRDefault="00086F76" w:rsidP="00086F76">
            <w:pPr>
              <w:pStyle w:val="TableContents"/>
              <w:jc w:val="center"/>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8B3D17" w:rsidP="00086F76">
            <w:pPr>
              <w:pStyle w:val="TableContents"/>
              <w:jc w:val="center"/>
            </w:pPr>
            <w:r>
              <w:t>2</w:t>
            </w: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8B3D17" w:rsidP="00086F76">
            <w:pPr>
              <w:pStyle w:val="TableContents"/>
              <w:jc w:val="center"/>
            </w:pPr>
            <w:r>
              <w:t>5</w:t>
            </w:r>
          </w:p>
        </w:tc>
        <w:tc>
          <w:tcPr>
            <w:tcW w:w="1295" w:type="dxa"/>
            <w:tcBorders>
              <w:left w:val="single" w:sz="4" w:space="0" w:color="000000"/>
              <w:bottom w:val="single" w:sz="4" w:space="0" w:color="000000"/>
              <w:right w:val="single" w:sz="4" w:space="0" w:color="000000"/>
            </w:tcBorders>
            <w:vAlign w:val="bottom"/>
          </w:tcPr>
          <w:p w:rsidR="00436D78" w:rsidRDefault="00721BEA" w:rsidP="00086F76">
            <w:pPr>
              <w:pStyle w:val="TableContents"/>
              <w:jc w:val="center"/>
            </w:pPr>
            <w:r>
              <w:t>7</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8B3D17" w:rsidP="00086F76">
            <w:pPr>
              <w:pStyle w:val="TableContents"/>
              <w:jc w:val="center"/>
            </w:pPr>
            <w:r>
              <w:t>2</w:t>
            </w: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8B3D17" w:rsidP="00086F76">
            <w:pPr>
              <w:pStyle w:val="TableContents"/>
              <w:jc w:val="center"/>
            </w:pPr>
            <w:r>
              <w:t>5</w:t>
            </w:r>
          </w:p>
        </w:tc>
        <w:tc>
          <w:tcPr>
            <w:tcW w:w="1295" w:type="dxa"/>
            <w:tcBorders>
              <w:left w:val="single" w:sz="4" w:space="0" w:color="000000"/>
              <w:bottom w:val="single" w:sz="4" w:space="0" w:color="000000"/>
              <w:right w:val="single" w:sz="4" w:space="0" w:color="000000"/>
            </w:tcBorders>
            <w:vAlign w:val="bottom"/>
          </w:tcPr>
          <w:p w:rsidR="00436D78" w:rsidRDefault="00721BEA" w:rsidP="00086F76">
            <w:pPr>
              <w:pStyle w:val="TableContents"/>
              <w:jc w:val="center"/>
            </w:pPr>
            <w:r>
              <w:t>7</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820"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490" w:type="dxa"/>
            <w:tcBorders>
              <w:left w:val="single" w:sz="4" w:space="0" w:color="000000"/>
              <w:bottom w:val="single" w:sz="4" w:space="0" w:color="000000"/>
            </w:tcBorders>
            <w:vAlign w:val="bottom"/>
          </w:tcPr>
          <w:p w:rsidR="00BB477A" w:rsidRDefault="008B3D17" w:rsidP="00086F76">
            <w:pPr>
              <w:pStyle w:val="TableContents"/>
              <w:jc w:val="center"/>
              <w:rPr>
                <w:b/>
                <w:bCs/>
              </w:rPr>
            </w:pPr>
            <w:r>
              <w:rPr>
                <w:b/>
                <w:bCs/>
              </w:rPr>
              <w:t>11</w:t>
            </w:r>
          </w:p>
        </w:tc>
        <w:tc>
          <w:tcPr>
            <w:tcW w:w="1295" w:type="dxa"/>
            <w:tcBorders>
              <w:left w:val="single" w:sz="4" w:space="0" w:color="000000"/>
              <w:bottom w:val="single" w:sz="4" w:space="0" w:color="000000"/>
              <w:right w:val="single" w:sz="4" w:space="0" w:color="000000"/>
            </w:tcBorders>
            <w:vAlign w:val="bottom"/>
          </w:tcPr>
          <w:p w:rsidR="00BB477A" w:rsidRDefault="008B3D17" w:rsidP="00086F76">
            <w:pPr>
              <w:pStyle w:val="TableContents"/>
              <w:jc w:val="center"/>
              <w:rPr>
                <w:b/>
                <w:bCs/>
              </w:rPr>
            </w:pPr>
            <w:r>
              <w:rPr>
                <w:b/>
                <w:bCs/>
              </w:rPr>
              <w:t>15</w:t>
            </w:r>
          </w:p>
        </w:tc>
      </w:tr>
    </w:tbl>
    <w:p w:rsidR="00D23124" w:rsidRDefault="00DC6137">
      <w:pPr>
        <w:pStyle w:val="Szvegtrzs"/>
      </w:pPr>
      <w:r>
        <w:t>Toate cadrele</w:t>
      </w:r>
      <w:r w:rsidR="006A39A7">
        <w:t xml:space="preserve"> didactice</w:t>
      </w:r>
      <w:r w:rsidR="00C13A3B">
        <w:t xml:space="preserve"> au avut titlul de doctor</w:t>
      </w:r>
      <w:r w:rsidR="00803A35">
        <w:t>.</w:t>
      </w:r>
    </w:p>
    <w:p w:rsidR="00D23124" w:rsidRDefault="00803A35">
      <w:pPr>
        <w:pStyle w:val="Cmsor3"/>
      </w:pPr>
      <w:r>
        <w:t>Evaluarea cadrelor didactice de către studenții</w:t>
      </w:r>
    </w:p>
    <w:p w:rsidR="00D23124" w:rsidRDefault="00803A35">
      <w:pPr>
        <w:pStyle w:val="Szvegtrzs"/>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rsidP="00825D67">
            <w:pPr>
              <w:pStyle w:val="TableContents"/>
              <w:jc w:val="center"/>
            </w:pPr>
            <w:r>
              <w:t>4,</w:t>
            </w:r>
            <w:r w:rsidR="00825D67">
              <w:t>54</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rsidP="00825D67">
            <w:pPr>
              <w:pStyle w:val="TableContents"/>
              <w:jc w:val="center"/>
            </w:pPr>
            <w:r>
              <w:t>4,</w:t>
            </w:r>
            <w:r w:rsidR="00825D67">
              <w:t>68</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086F76" w:rsidP="00825D67">
            <w:pPr>
              <w:pStyle w:val="TableContents"/>
              <w:jc w:val="center"/>
            </w:pPr>
            <w:r>
              <w:t>4,</w:t>
            </w:r>
            <w:r w:rsidR="00825D67">
              <w:t>61</w:t>
            </w:r>
          </w:p>
        </w:tc>
      </w:tr>
    </w:tbl>
    <w:p w:rsidR="00D23124" w:rsidRDefault="00803A35">
      <w:pPr>
        <w:pStyle w:val="Cmsor3"/>
      </w:pPr>
      <w:r>
        <w:t>Evaluarea generală a cadrelor didactice</w:t>
      </w:r>
    </w:p>
    <w:p w:rsidR="00D23124" w:rsidRDefault="00803A35">
      <w:pPr>
        <w:pStyle w:val="Szvegtrzs"/>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Szvegtrzs"/>
      </w:pPr>
      <w:r>
        <w:t>Calificativele obținute de către cadrele didactice, care predă la programul de studiu</w:t>
      </w:r>
      <w:r w:rsidR="00A9668D">
        <w:t xml:space="preserve"> </w:t>
      </w:r>
      <w:r w:rsidR="007F1A4F">
        <w:t>Multilingvism și multiculturalitate</w:t>
      </w:r>
      <w:r w:rsidR="00F84798">
        <w:t xml:space="preserve"> </w:t>
      </w:r>
      <w:r w:rsidR="00834CE0">
        <w:t>(anul 20</w:t>
      </w:r>
      <w:r w:rsidR="00675166">
        <w:t>21</w:t>
      </w:r>
      <w:bookmarkStart w:id="0" w:name="_GoBack"/>
      <w:bookmarkEnd w:id="0"/>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825D67">
            <w:pPr>
              <w:pStyle w:val="TableContents"/>
              <w:jc w:val="center"/>
            </w:pPr>
            <w:r>
              <w:t>4</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825D67">
            <w:pPr>
              <w:pStyle w:val="TableContents"/>
              <w:jc w:val="center"/>
            </w:pPr>
            <w:r>
              <w:t>9</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Cmsor2"/>
      </w:pPr>
      <w:r>
        <w:t>Studenții</w:t>
      </w:r>
    </w:p>
    <w:p w:rsidR="00D23124" w:rsidRDefault="00A328DD">
      <w:pPr>
        <w:pStyle w:val="Szvegtrzs"/>
      </w:pPr>
      <w:r>
        <w:t>În anul universitar 20</w:t>
      </w:r>
      <w:r w:rsidR="00825D67">
        <w:t>20</w:t>
      </w:r>
      <w:r>
        <w:t>/20</w:t>
      </w:r>
      <w:r w:rsidR="00B76F88">
        <w:t>2</w:t>
      </w:r>
      <w:r w:rsidR="00825D67">
        <w:t>1</w:t>
      </w:r>
      <w:r w:rsidR="00803A35">
        <w:t xml:space="preserve"> specializarea </w:t>
      </w:r>
      <w:r w:rsidR="007F1A4F" w:rsidRPr="00302321">
        <w:rPr>
          <w:i/>
        </w:rPr>
        <w:t>Multilingvism și multiculturalitate</w:t>
      </w:r>
      <w:r w:rsidR="00803A35">
        <w:t xml:space="preserve"> a avut un număr </w:t>
      </w:r>
      <w:r w:rsidR="009A12C5">
        <w:t>de</w:t>
      </w:r>
      <w:r>
        <w:t xml:space="preserve"> </w:t>
      </w:r>
      <w:r w:rsidR="00825D67">
        <w:t xml:space="preserve">49 </w:t>
      </w:r>
      <w:r w:rsidR="00803A35">
        <w:t>de studenți, după cum urmează:</w:t>
      </w:r>
    </w:p>
    <w:p w:rsidR="00D23124" w:rsidRDefault="009A12C5">
      <w:pPr>
        <w:pStyle w:val="ListContents"/>
        <w:numPr>
          <w:ilvl w:val="0"/>
          <w:numId w:val="2"/>
        </w:numPr>
      </w:pPr>
      <w:r>
        <w:t xml:space="preserve">Studenți anul I: </w:t>
      </w:r>
      <w:r w:rsidR="00825D67">
        <w:t>26</w:t>
      </w:r>
    </w:p>
    <w:p w:rsidR="00D23124" w:rsidRDefault="009A12C5">
      <w:pPr>
        <w:pStyle w:val="ListContents"/>
        <w:numPr>
          <w:ilvl w:val="0"/>
          <w:numId w:val="2"/>
        </w:numPr>
      </w:pPr>
      <w:r>
        <w:t xml:space="preserve">Studenți anul II: </w:t>
      </w:r>
      <w:r w:rsidR="00B76F88">
        <w:t>2</w:t>
      </w:r>
      <w:r w:rsidR="00825D67">
        <w:t>3</w:t>
      </w:r>
    </w:p>
    <w:p w:rsidR="00D23124" w:rsidRDefault="00D23124" w:rsidP="00741FC6">
      <w:pPr>
        <w:pStyle w:val="ListContents"/>
        <w:ind w:left="170"/>
      </w:pPr>
    </w:p>
    <w:p w:rsidR="00D23124" w:rsidRDefault="00803A35">
      <w:pPr>
        <w:pStyle w:val="Cmsor2"/>
      </w:pPr>
      <w:r>
        <w:lastRenderedPageBreak/>
        <w:t>Cercetare științifică</w:t>
      </w:r>
    </w:p>
    <w:p w:rsidR="00D23124" w:rsidRDefault="00803A35">
      <w:pPr>
        <w:pStyle w:val="Szvegtrzs"/>
      </w:pPr>
      <w:r>
        <w:t xml:space="preserve">La capitolul de cercetare științifică ne referim la realizările colectivului </w:t>
      </w:r>
      <w:r w:rsidR="00CC7B40">
        <w:t>care predă disciplinele la specializare</w:t>
      </w:r>
      <w:r w:rsidR="00A328DD">
        <w:t xml:space="preserve">a de </w:t>
      </w:r>
      <w:r w:rsidR="007F1A4F">
        <w:t>Multilingvism și multiculturalitate</w:t>
      </w:r>
      <w:r w:rsidR="00CC7B40">
        <w:t xml:space="preserve">, </w:t>
      </w:r>
      <w:r>
        <w:t xml:space="preserve">de la Departamentul de </w:t>
      </w:r>
      <w:r w:rsidR="007C1B02">
        <w:t>Limbă și Literatură</w:t>
      </w:r>
      <w:r>
        <w:t xml:space="preserve">, la care aparține programul de studiu </w:t>
      </w:r>
      <w:r w:rsidR="007F1A4F">
        <w:t>Multilingvism și multiculturalitate</w:t>
      </w:r>
      <w:r>
        <w:t>.</w:t>
      </w:r>
    </w:p>
    <w:p w:rsidR="00825D67" w:rsidRDefault="00825D67" w:rsidP="00825D67">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825D67" w:rsidRPr="00EF5E67" w:rsidTr="00ED130D">
        <w:trPr>
          <w:trHeight w:val="567"/>
        </w:trPr>
        <w:tc>
          <w:tcPr>
            <w:tcW w:w="8662" w:type="dxa"/>
            <w:shd w:val="clear" w:color="auto" w:fill="auto"/>
            <w:vAlign w:val="center"/>
            <w:hideMark/>
          </w:tcPr>
          <w:p w:rsidR="00825D67" w:rsidRPr="00A14207" w:rsidRDefault="00825D67"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825D67" w:rsidRPr="00A14207" w:rsidRDefault="00825D67"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21</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CNCSIS</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CNCSIS</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cotate ISI</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străinătate fără cotaţie ISI</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(alte categorii - C şi D)</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CNCS (altele decât cele din baze de date internaţionale)</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Volum ştiinţific colectiv - Local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825D67" w:rsidRPr="00EF5E67" w:rsidTr="00ED130D">
        <w:trPr>
          <w:trHeight w:val="567"/>
        </w:trPr>
        <w:tc>
          <w:tcPr>
            <w:tcW w:w="8662" w:type="dxa"/>
            <w:shd w:val="clear" w:color="auto" w:fill="auto"/>
            <w:vAlign w:val="center"/>
            <w:hideMark/>
          </w:tcPr>
          <w:p w:rsidR="00825D67" w:rsidRPr="00A14207" w:rsidRDefault="00825D67"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825D67" w:rsidRPr="00A14207" w:rsidRDefault="00825D67"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825D67" w:rsidRPr="00EF5E67" w:rsidTr="00ED130D">
        <w:trPr>
          <w:trHeight w:val="567"/>
        </w:trPr>
        <w:tc>
          <w:tcPr>
            <w:tcW w:w="8662" w:type="dxa"/>
            <w:shd w:val="clear" w:color="auto" w:fill="auto"/>
            <w:vAlign w:val="center"/>
          </w:tcPr>
          <w:p w:rsidR="00825D67" w:rsidRPr="00EF5E67" w:rsidRDefault="00825D67"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825D67" w:rsidRPr="00EF5E67" w:rsidRDefault="00825D67"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49</w:t>
            </w:r>
          </w:p>
        </w:tc>
      </w:tr>
    </w:tbl>
    <w:p w:rsidR="00825D67" w:rsidRPr="00043169" w:rsidRDefault="00825D67" w:rsidP="00825D67">
      <w:pPr>
        <w:pStyle w:val="Szvegtrzs"/>
      </w:pPr>
    </w:p>
    <w:p w:rsidR="00825D67" w:rsidRDefault="00825D67" w:rsidP="00825D67">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825D67" w:rsidRPr="00EF5E67" w:rsidTr="00ED130D">
        <w:trPr>
          <w:trHeight w:val="567"/>
        </w:trPr>
        <w:tc>
          <w:tcPr>
            <w:tcW w:w="8662" w:type="dxa"/>
            <w:shd w:val="clear" w:color="auto" w:fill="auto"/>
            <w:vAlign w:val="center"/>
            <w:hideMark/>
          </w:tcPr>
          <w:p w:rsidR="00825D67" w:rsidRPr="005E2A8D" w:rsidRDefault="00825D67" w:rsidP="00ED130D">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Anul</w:t>
            </w:r>
          </w:p>
        </w:tc>
        <w:tc>
          <w:tcPr>
            <w:tcW w:w="1134" w:type="dxa"/>
            <w:shd w:val="clear" w:color="auto" w:fill="auto"/>
            <w:vAlign w:val="center"/>
            <w:hideMark/>
          </w:tcPr>
          <w:p w:rsidR="00825D67" w:rsidRPr="005E2A8D" w:rsidRDefault="00825D67"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2021</w:t>
            </w:r>
          </w:p>
        </w:tc>
      </w:tr>
      <w:tr w:rsidR="00825D67" w:rsidRPr="00EF5E67" w:rsidTr="00ED130D">
        <w:trPr>
          <w:trHeight w:val="567"/>
        </w:trPr>
        <w:tc>
          <w:tcPr>
            <w:tcW w:w="8662" w:type="dxa"/>
            <w:shd w:val="clear" w:color="auto" w:fill="auto"/>
            <w:vAlign w:val="center"/>
            <w:hideMark/>
          </w:tcPr>
          <w:p w:rsidR="00825D67" w:rsidRPr="005E2A8D" w:rsidRDefault="00825D67"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Locală</w:t>
            </w:r>
          </w:p>
        </w:tc>
        <w:tc>
          <w:tcPr>
            <w:tcW w:w="1134" w:type="dxa"/>
            <w:shd w:val="clear" w:color="auto" w:fill="auto"/>
            <w:vAlign w:val="center"/>
            <w:hideMark/>
          </w:tcPr>
          <w:p w:rsidR="00825D67" w:rsidRPr="00CE76B4" w:rsidRDefault="00825D67"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w:t>
            </w:r>
          </w:p>
        </w:tc>
      </w:tr>
      <w:tr w:rsidR="00825D67" w:rsidRPr="00EF5E67" w:rsidTr="00ED130D">
        <w:trPr>
          <w:trHeight w:val="567"/>
        </w:trPr>
        <w:tc>
          <w:tcPr>
            <w:tcW w:w="8662" w:type="dxa"/>
            <w:shd w:val="clear" w:color="auto" w:fill="auto"/>
            <w:vAlign w:val="center"/>
            <w:hideMark/>
          </w:tcPr>
          <w:p w:rsidR="00825D67" w:rsidRPr="005E2A8D" w:rsidRDefault="00825D67"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Naţională</w:t>
            </w:r>
          </w:p>
        </w:tc>
        <w:tc>
          <w:tcPr>
            <w:tcW w:w="1134" w:type="dxa"/>
            <w:shd w:val="clear" w:color="auto" w:fill="auto"/>
            <w:vAlign w:val="center"/>
            <w:hideMark/>
          </w:tcPr>
          <w:p w:rsidR="00825D67" w:rsidRPr="00CE76B4" w:rsidRDefault="00825D67"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19</w:t>
            </w:r>
          </w:p>
        </w:tc>
      </w:tr>
      <w:tr w:rsidR="00825D67" w:rsidRPr="00EF5E67" w:rsidTr="00ED130D">
        <w:trPr>
          <w:trHeight w:val="567"/>
        </w:trPr>
        <w:tc>
          <w:tcPr>
            <w:tcW w:w="8662" w:type="dxa"/>
            <w:shd w:val="clear" w:color="auto" w:fill="auto"/>
            <w:vAlign w:val="center"/>
            <w:hideMark/>
          </w:tcPr>
          <w:p w:rsidR="00825D67" w:rsidRPr="005E2A8D" w:rsidRDefault="00825D67"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Internaţională</w:t>
            </w:r>
          </w:p>
        </w:tc>
        <w:tc>
          <w:tcPr>
            <w:tcW w:w="1134" w:type="dxa"/>
            <w:shd w:val="clear" w:color="auto" w:fill="auto"/>
            <w:vAlign w:val="center"/>
            <w:hideMark/>
          </w:tcPr>
          <w:p w:rsidR="00825D67" w:rsidRPr="00CE76B4" w:rsidRDefault="00825D67"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42</w:t>
            </w:r>
          </w:p>
        </w:tc>
      </w:tr>
      <w:tr w:rsidR="00825D67" w:rsidRPr="00EF5E67" w:rsidTr="00ED130D">
        <w:trPr>
          <w:trHeight w:val="567"/>
        </w:trPr>
        <w:tc>
          <w:tcPr>
            <w:tcW w:w="8662" w:type="dxa"/>
            <w:shd w:val="clear" w:color="auto" w:fill="auto"/>
            <w:vAlign w:val="center"/>
            <w:hideMark/>
          </w:tcPr>
          <w:p w:rsidR="00825D67" w:rsidRPr="005E2A8D" w:rsidRDefault="00825D67"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825D67" w:rsidRPr="005E2A8D" w:rsidRDefault="00825D67" w:rsidP="00ED130D">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63</w:t>
            </w:r>
          </w:p>
        </w:tc>
      </w:tr>
    </w:tbl>
    <w:p w:rsidR="00D23124" w:rsidRDefault="00803A35">
      <w:pPr>
        <w:pStyle w:val="Cmsor2"/>
      </w:pPr>
      <w:r>
        <w:t>Resurse materiale</w:t>
      </w:r>
    </w:p>
    <w:p w:rsidR="00D23124" w:rsidRDefault="00803A35">
      <w:pPr>
        <w:pStyle w:val="Szvegtrzs"/>
      </w:pPr>
      <w:r>
        <w:t xml:space="preserve">Specializarea </w:t>
      </w:r>
      <w:r w:rsidR="00466C7F">
        <w:t xml:space="preserve">de </w:t>
      </w:r>
      <w:r w:rsidR="007F1A4F">
        <w:t>Multilingvism și multiculturalitate</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activitate didactică cu 20</w:t>
      </w:r>
      <w:r>
        <w:t xml:space="preserve"> de locuri</w:t>
      </w:r>
      <w:r w:rsidR="00B612E6">
        <w:t xml:space="preserve"> fiecare</w:t>
      </w:r>
      <w:r>
        <w:t xml:space="preserve"> și un număr suficient de calculatoare. Cadrele didact</w:t>
      </w:r>
      <w:r>
        <w:t>i</w:t>
      </w:r>
      <w:r>
        <w:t xml:space="preserve">ce au la dispoziție </w:t>
      </w:r>
      <w:r w:rsidR="0014348D">
        <w:t>o sală</w:t>
      </w:r>
      <w:r>
        <w:t xml:space="preserve"> de profesori, aparținând Departamentului de </w:t>
      </w:r>
      <w:r w:rsidR="0014348D">
        <w:t>Limbă și Literatură</w:t>
      </w:r>
      <w:r>
        <w:t xml:space="preserve">, </w:t>
      </w:r>
      <w:r w:rsidR="0014348D">
        <w:t xml:space="preserve">sala </w:t>
      </w:r>
      <w:r>
        <w:t>fiind dotată cu imprimantă laser și calculator desktop.</w:t>
      </w:r>
    </w:p>
    <w:p w:rsidR="00D23124" w:rsidRDefault="00803A35">
      <w:pPr>
        <w:pStyle w:val="Szvegtrzs"/>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iperhivatkozs"/>
          </w:rPr>
          <w:t>https://opac3.partium.qulto.ro</w:t>
        </w:r>
      </w:hyperlink>
      <w:r>
        <w:t xml:space="preserve">. Resursele sunt completate cu baze de date internaționale, vezi lista actuală pe </w:t>
      </w:r>
      <w:hyperlink r:id="rId10">
        <w:r>
          <w:rPr>
            <w:rStyle w:val="Hiperhivatkozs"/>
          </w:rPr>
          <w:t>https://sites.google.com/partium.ro/resursestiinifice</w:t>
        </w:r>
      </w:hyperlink>
      <w:r>
        <w:t>.</w:t>
      </w:r>
    </w:p>
    <w:p w:rsidR="00D23124" w:rsidRDefault="00803A35">
      <w:pPr>
        <w:pStyle w:val="Szvegtrzs"/>
      </w:pPr>
      <w:r>
        <w:lastRenderedPageBreak/>
        <w:t>Accesul la internet wireless este gratuit pe tot teritoriul campusului universitar, iar studenții au pos</w:t>
      </w:r>
      <w:r>
        <w:t>i</w:t>
      </w:r>
      <w:r>
        <w:t>bilitate de scanare/printare la biblioteca universității.</w:t>
      </w:r>
      <w:r w:rsidR="00A328DD">
        <w:t xml:space="preserve"> Studenții au la dispoziție Software-ul MemoQ pentru cursurile de traduceri computerizate, și aparatele de interpretariat consecutiv și simultan pe</w:t>
      </w:r>
      <w:r w:rsidR="00A328DD">
        <w:t>n</w:t>
      </w:r>
      <w:r w:rsidR="00A328DD">
        <w:t xml:space="preserve">tru cursurile de interpretariat. </w:t>
      </w:r>
    </w:p>
    <w:sectPr w:rsidR="00D23124">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BC" w:rsidRDefault="008C05BC">
      <w:r>
        <w:separator/>
      </w:r>
    </w:p>
  </w:endnote>
  <w:endnote w:type="continuationSeparator" w:id="0">
    <w:p w:rsidR="008C05BC" w:rsidRDefault="008C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675166">
      <w:rPr>
        <w:noProof/>
      </w:rPr>
      <w:t>4</w:t>
    </w:r>
    <w:r>
      <w:fldChar w:fldCharType="end"/>
    </w:r>
    <w:r>
      <w:t xml:space="preserve"> / </w:t>
    </w:r>
    <w:r>
      <w:fldChar w:fldCharType="begin"/>
    </w:r>
    <w:r>
      <w:instrText xml:space="preserve"> NUMPAGES </w:instrText>
    </w:r>
    <w:r>
      <w:fldChar w:fldCharType="separate"/>
    </w:r>
    <w:r w:rsidR="0067516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675166">
      <w:rPr>
        <w:noProof/>
      </w:rPr>
      <w:t>3</w:t>
    </w:r>
    <w:r>
      <w:fldChar w:fldCharType="end"/>
    </w:r>
    <w:r>
      <w:t xml:space="preserve"> / </w:t>
    </w:r>
    <w:r>
      <w:fldChar w:fldCharType="begin"/>
    </w:r>
    <w:r>
      <w:instrText xml:space="preserve"> NUMPAGES </w:instrText>
    </w:r>
    <w:r>
      <w:fldChar w:fldCharType="separate"/>
    </w:r>
    <w:r w:rsidR="00675166">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675166">
      <w:rPr>
        <w:noProof/>
      </w:rPr>
      <w:t>1</w:t>
    </w:r>
    <w:r>
      <w:fldChar w:fldCharType="end"/>
    </w:r>
    <w:r>
      <w:t xml:space="preserve"> / </w:t>
    </w:r>
    <w:r>
      <w:fldChar w:fldCharType="begin"/>
    </w:r>
    <w:r>
      <w:instrText xml:space="preserve"> NUMPAGES </w:instrText>
    </w:r>
    <w:r>
      <w:fldChar w:fldCharType="separate"/>
    </w:r>
    <w:r w:rsidR="00675166">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BC" w:rsidRDefault="008C05BC">
      <w:r>
        <w:separator/>
      </w:r>
    </w:p>
  </w:footnote>
  <w:footnote w:type="continuationSeparator" w:id="0">
    <w:p w:rsidR="008C05BC" w:rsidRDefault="008C0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86F76"/>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F6BDE"/>
    <w:rsid w:val="00202B17"/>
    <w:rsid w:val="0021363C"/>
    <w:rsid w:val="00222EE7"/>
    <w:rsid w:val="002336C7"/>
    <w:rsid w:val="002432F3"/>
    <w:rsid w:val="00246A0A"/>
    <w:rsid w:val="00250B89"/>
    <w:rsid w:val="0025257A"/>
    <w:rsid w:val="00295320"/>
    <w:rsid w:val="002A2B40"/>
    <w:rsid w:val="002D2AD9"/>
    <w:rsid w:val="002F3704"/>
    <w:rsid w:val="00302321"/>
    <w:rsid w:val="00310A9F"/>
    <w:rsid w:val="003343A8"/>
    <w:rsid w:val="0034537C"/>
    <w:rsid w:val="003622BC"/>
    <w:rsid w:val="00376D65"/>
    <w:rsid w:val="003823B0"/>
    <w:rsid w:val="003854DE"/>
    <w:rsid w:val="003979AE"/>
    <w:rsid w:val="003A747D"/>
    <w:rsid w:val="00436D78"/>
    <w:rsid w:val="00454701"/>
    <w:rsid w:val="00466C7F"/>
    <w:rsid w:val="00481969"/>
    <w:rsid w:val="0049144D"/>
    <w:rsid w:val="004A1E65"/>
    <w:rsid w:val="004D4B69"/>
    <w:rsid w:val="004F23AB"/>
    <w:rsid w:val="004F7ED5"/>
    <w:rsid w:val="0050275D"/>
    <w:rsid w:val="00512D65"/>
    <w:rsid w:val="00526B7E"/>
    <w:rsid w:val="00535003"/>
    <w:rsid w:val="00541D74"/>
    <w:rsid w:val="00580B41"/>
    <w:rsid w:val="00605927"/>
    <w:rsid w:val="00613DC0"/>
    <w:rsid w:val="00621F22"/>
    <w:rsid w:val="00625FD0"/>
    <w:rsid w:val="006304F6"/>
    <w:rsid w:val="00637D76"/>
    <w:rsid w:val="006511EF"/>
    <w:rsid w:val="00653590"/>
    <w:rsid w:val="00662FD0"/>
    <w:rsid w:val="00673C1E"/>
    <w:rsid w:val="00675166"/>
    <w:rsid w:val="006A39A7"/>
    <w:rsid w:val="006B0C99"/>
    <w:rsid w:val="006B451B"/>
    <w:rsid w:val="006C7CE5"/>
    <w:rsid w:val="006D50B6"/>
    <w:rsid w:val="006E0BFE"/>
    <w:rsid w:val="007160A3"/>
    <w:rsid w:val="00721BEA"/>
    <w:rsid w:val="007245E9"/>
    <w:rsid w:val="00737002"/>
    <w:rsid w:val="00741FC6"/>
    <w:rsid w:val="0075436D"/>
    <w:rsid w:val="00760E10"/>
    <w:rsid w:val="0079558D"/>
    <w:rsid w:val="007C040C"/>
    <w:rsid w:val="007C1B02"/>
    <w:rsid w:val="007C783E"/>
    <w:rsid w:val="007E16A9"/>
    <w:rsid w:val="007F1A4F"/>
    <w:rsid w:val="00803A35"/>
    <w:rsid w:val="00825D67"/>
    <w:rsid w:val="00834CE0"/>
    <w:rsid w:val="00861A6B"/>
    <w:rsid w:val="008627E9"/>
    <w:rsid w:val="008B3D17"/>
    <w:rsid w:val="008B65BE"/>
    <w:rsid w:val="008B6B4A"/>
    <w:rsid w:val="008C05BC"/>
    <w:rsid w:val="008C64B6"/>
    <w:rsid w:val="008F58CE"/>
    <w:rsid w:val="009144FD"/>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C09D9"/>
    <w:rsid w:val="00AC0C1A"/>
    <w:rsid w:val="00AC6AF5"/>
    <w:rsid w:val="00AE0616"/>
    <w:rsid w:val="00AE0A7D"/>
    <w:rsid w:val="00B41EED"/>
    <w:rsid w:val="00B612E6"/>
    <w:rsid w:val="00B76F88"/>
    <w:rsid w:val="00B7765E"/>
    <w:rsid w:val="00B8304A"/>
    <w:rsid w:val="00BA671A"/>
    <w:rsid w:val="00BB477A"/>
    <w:rsid w:val="00BC4F1D"/>
    <w:rsid w:val="00C13A3B"/>
    <w:rsid w:val="00C8572B"/>
    <w:rsid w:val="00C95263"/>
    <w:rsid w:val="00CB486F"/>
    <w:rsid w:val="00CC7B40"/>
    <w:rsid w:val="00CD6B0D"/>
    <w:rsid w:val="00CE0952"/>
    <w:rsid w:val="00D23124"/>
    <w:rsid w:val="00D351CD"/>
    <w:rsid w:val="00D429A0"/>
    <w:rsid w:val="00D752A4"/>
    <w:rsid w:val="00D87063"/>
    <w:rsid w:val="00D90172"/>
    <w:rsid w:val="00DC065F"/>
    <w:rsid w:val="00DC6137"/>
    <w:rsid w:val="00DD19F8"/>
    <w:rsid w:val="00DF13C5"/>
    <w:rsid w:val="00E04000"/>
    <w:rsid w:val="00E112C6"/>
    <w:rsid w:val="00E2449A"/>
    <w:rsid w:val="00E7354A"/>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402E-A80D-4697-B63C-66A291D6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1640</Words>
  <Characters>11319</Characters>
  <Application>Microsoft Office Word</Application>
  <DocSecurity>0</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2024-09-09T04:03:00Z</dcterms:created>
  <dcterms:modified xsi:type="dcterms:W3CDTF">2024-09-09T08:21:00Z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