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0AE5E" w14:textId="77777777" w:rsidR="00B6766C" w:rsidRPr="00645F04" w:rsidRDefault="00B6766C" w:rsidP="00B6766C">
      <w:pPr>
        <w:spacing w:after="0"/>
      </w:pPr>
      <w:r w:rsidRPr="00645F04">
        <w:t>APROBAT prin Hotărârea Senatului nr</w:t>
      </w:r>
      <w:r>
        <w:t>. 144</w:t>
      </w:r>
      <w:r w:rsidRPr="00645F04">
        <w:t>/11.12.2025</w:t>
      </w:r>
    </w:p>
    <w:p w14:paraId="0E4E3F2B" w14:textId="77777777" w:rsidR="00B6766C" w:rsidRPr="00A90B01" w:rsidRDefault="00B6766C" w:rsidP="00B6766C">
      <w:pPr>
        <w:spacing w:after="0"/>
      </w:pPr>
      <w:r>
        <w:t>Con</w:t>
      </w:r>
      <w:r w:rsidRPr="00645F04">
        <w:t xml:space="preserve">f. univ. dr. </w:t>
      </w:r>
      <w:r>
        <w:t>Szász Erzsébet</w:t>
      </w:r>
    </w:p>
    <w:p w14:paraId="6ADA0133" w14:textId="77777777" w:rsidR="00B6766C" w:rsidRPr="00645F04" w:rsidRDefault="00B6766C" w:rsidP="00B6766C">
      <w:pPr>
        <w:spacing w:after="0"/>
      </w:pPr>
      <w:r>
        <w:t>Președinte Senat</w:t>
      </w:r>
    </w:p>
    <w:p w14:paraId="486D04A7" w14:textId="77777777" w:rsidR="00B6766C" w:rsidRDefault="00B6766C">
      <w:pPr>
        <w:pStyle w:val="Title"/>
      </w:pPr>
    </w:p>
    <w:p w14:paraId="19584FB7" w14:textId="77777777" w:rsidR="00171BB6" w:rsidRDefault="00710B95">
      <w:pPr>
        <w:pStyle w:val="Title"/>
        <w:rPr>
          <w:rFonts w:cs="Times New Roman"/>
          <w:szCs w:val="28"/>
        </w:rPr>
      </w:pPr>
      <w:r>
        <w:t>Metodologie specifică de organizare și desfășurare a a examenului de finalizare a studiilor pentru anul universitar 2025-2026</w:t>
      </w:r>
    </w:p>
    <w:p w14:paraId="6BF6D92C" w14:textId="77777777" w:rsidR="00171BB6" w:rsidRDefault="00710B95">
      <w:pPr>
        <w:pStyle w:val="Subtitle"/>
        <w:rPr>
          <w:sz w:val="28"/>
          <w:szCs w:val="28"/>
        </w:rPr>
      </w:pPr>
      <w:r>
        <w:t>Program de licență: Asistență socială</w:t>
      </w:r>
    </w:p>
    <w:p w14:paraId="77F667F0" w14:textId="77777777" w:rsidR="00171BB6" w:rsidRDefault="00171BB6">
      <w:pPr>
        <w:pStyle w:val="BodyText"/>
      </w:pPr>
    </w:p>
    <w:p w14:paraId="42FE653D" w14:textId="77777777" w:rsidR="00171BB6" w:rsidRDefault="00710B95">
      <w:pPr>
        <w:pStyle w:val="BodyText"/>
        <w:rPr>
          <w:rFonts w:cs="Times New Roman"/>
          <w:sz w:val="24"/>
          <w:szCs w:val="24"/>
        </w:rPr>
      </w:pPr>
      <w:r>
        <w:t xml:space="preserve">Prezenta metodologie completează Regulamentul de organizare și desfășurare a examenului de licență a Universității Creștine Partium cu elemente specifice programului de studii de licență </w:t>
      </w:r>
      <w:r>
        <w:rPr>
          <w:i/>
          <w:iCs/>
        </w:rPr>
        <w:t>Asistență socială</w:t>
      </w:r>
      <w:r>
        <w:t xml:space="preserve"> din cadrul </w:t>
      </w:r>
      <w:r>
        <w:rPr>
          <w:i/>
          <w:iCs/>
        </w:rPr>
        <w:t>Departamentului de Științe Socio-Umane, Facultatea de Științe Economice și Sociale</w:t>
      </w:r>
      <w:r>
        <w:t>.</w:t>
      </w:r>
    </w:p>
    <w:p w14:paraId="347EA329" w14:textId="77777777" w:rsidR="00171BB6" w:rsidRDefault="00171BB6">
      <w:pPr>
        <w:pStyle w:val="Articol"/>
      </w:pPr>
    </w:p>
    <w:p w14:paraId="7946391A" w14:textId="77777777" w:rsidR="00171BB6" w:rsidRDefault="00710B95">
      <w:pPr>
        <w:pStyle w:val="Articol"/>
      </w:pPr>
      <w:r>
        <w:t>Art. 1</w:t>
      </w:r>
    </w:p>
    <w:p w14:paraId="16099927" w14:textId="77777777" w:rsidR="00171BB6" w:rsidRDefault="00710B95">
      <w:pPr>
        <w:pStyle w:val="BodyText"/>
        <w:rPr>
          <w:rFonts w:cs="Times New Roman"/>
          <w:i/>
          <w:sz w:val="24"/>
          <w:szCs w:val="24"/>
        </w:rPr>
      </w:pPr>
      <w:r>
        <w:rPr>
          <w:i/>
          <w:iCs/>
        </w:rPr>
        <w:t>Departamentul de Științe Socio-Umane</w:t>
      </w:r>
      <w:r>
        <w:t xml:space="preserve"> organizează examen de licență pentru absolvenții promoției curente și ai promoțiilor anterioare ai programului de studii de licență </w:t>
      </w:r>
      <w:r>
        <w:rPr>
          <w:i/>
          <w:iCs/>
        </w:rPr>
        <w:t>Asistență socială</w:t>
      </w:r>
      <w:r>
        <w:t>, forma de învățământ cu frecvență.</w:t>
      </w:r>
    </w:p>
    <w:p w14:paraId="094526A4" w14:textId="77777777" w:rsidR="00171BB6" w:rsidRDefault="00710B95">
      <w:pPr>
        <w:pStyle w:val="Articol"/>
        <w:rPr>
          <w:rFonts w:cs="Times New Roman"/>
        </w:rPr>
      </w:pPr>
      <w:r>
        <w:t>Art. 2</w:t>
      </w:r>
    </w:p>
    <w:p w14:paraId="3CE82145" w14:textId="77777777" w:rsidR="00171BB6" w:rsidRDefault="00710B95">
      <w:pPr>
        <w:pStyle w:val="BodyText"/>
        <w:numPr>
          <w:ilvl w:val="0"/>
          <w:numId w:val="2"/>
        </w:numPr>
      </w:pPr>
      <w:r>
        <w:t>Examenul de licență constă din 2 probe, după cum urmează:</w:t>
      </w:r>
    </w:p>
    <w:p w14:paraId="305116AE" w14:textId="77777777" w:rsidR="00171BB6" w:rsidRDefault="00710B95">
      <w:pPr>
        <w:pStyle w:val="ListParagraph"/>
      </w:pPr>
      <w:r>
        <w:t>Proba 1. Evaluarea cunoștințelor fundamentale și de specialitate</w:t>
      </w:r>
    </w:p>
    <w:p w14:paraId="31DFD70C" w14:textId="77777777" w:rsidR="00171BB6" w:rsidRDefault="00710B95">
      <w:pPr>
        <w:pStyle w:val="ListParagraph"/>
      </w:pPr>
      <w:r>
        <w:t>Proba 2. Prezentarea și susținerea lucrării de licență</w:t>
      </w:r>
    </w:p>
    <w:p w14:paraId="7349A5EC" w14:textId="77777777" w:rsidR="00171BB6" w:rsidRDefault="00710B95">
      <w:pPr>
        <w:pStyle w:val="BodyText"/>
        <w:numPr>
          <w:ilvl w:val="0"/>
          <w:numId w:val="2"/>
        </w:numPr>
      </w:pPr>
      <w:r>
        <w:t xml:space="preserve">Proba 1 a examenului de licență se va desfășura sub formă de examen oral. Proba de prezentare și susținere a lucrării de licență este publică și se desfășoară în prezența, în același loc și în același moment, a comisiei și a examinatului. </w:t>
      </w:r>
    </w:p>
    <w:p w14:paraId="6B6F4246" w14:textId="77777777" w:rsidR="00171BB6" w:rsidRDefault="00710B95">
      <w:pPr>
        <w:pStyle w:val="BodyText"/>
        <w:numPr>
          <w:ilvl w:val="0"/>
          <w:numId w:val="2"/>
        </w:numPr>
        <w:rPr>
          <w:rFonts w:cs="Times New Roman"/>
          <w:sz w:val="24"/>
          <w:szCs w:val="24"/>
        </w:rPr>
      </w:pPr>
      <w:r>
        <w:t>Fiecare absolvent se va legitima, înaintea unei probe de examen, cu carnetul de student sau cartea de identitate.</w:t>
      </w:r>
    </w:p>
    <w:p w14:paraId="264E54DE" w14:textId="77777777" w:rsidR="00171BB6" w:rsidRDefault="00710B95">
      <w:pPr>
        <w:pStyle w:val="Articol"/>
        <w:rPr>
          <w:rFonts w:cs="Times New Roman"/>
          <w:lang w:val="hu-HU"/>
        </w:rPr>
      </w:pPr>
      <w:r>
        <w:t>Art. 3</w:t>
      </w:r>
    </w:p>
    <w:p w14:paraId="261A8F9C" w14:textId="77777777" w:rsidR="00171BB6" w:rsidRDefault="00710B95">
      <w:pPr>
        <w:pStyle w:val="BodyText"/>
        <w:numPr>
          <w:ilvl w:val="0"/>
          <w:numId w:val="8"/>
        </w:numPr>
      </w:pPr>
      <w:r>
        <w:t xml:space="preserve">Proba de verificare a cunoștințelor fundamentale și de specialitate ale candidaților se va desfășura pe baza unor tematici și a unei bibliografii postate pe site-ul specializării cu cel puțin 6 luni înainte de data examenului de licență. </w:t>
      </w:r>
    </w:p>
    <w:p w14:paraId="640407AC" w14:textId="77777777" w:rsidR="00171BB6" w:rsidRDefault="00710B95">
      <w:pPr>
        <w:numPr>
          <w:ilvl w:val="0"/>
          <w:numId w:val="2"/>
        </w:numPr>
      </w:pPr>
      <w:r>
        <w:t>Comisia de examen va elabora un set de subiecte și va alege în mod aleatoriu un subiect pentru fiecare candidat, așa încât acesta să poată constata vizual caracterul aleatoriu al alegerii.</w:t>
      </w:r>
    </w:p>
    <w:p w14:paraId="09A72D93" w14:textId="77777777" w:rsidR="00171BB6" w:rsidRDefault="00710B95">
      <w:pPr>
        <w:numPr>
          <w:ilvl w:val="0"/>
          <w:numId w:val="2"/>
        </w:numPr>
      </w:pPr>
      <w:r>
        <w:t>Candidatul va avea la dispoziție timpul necesar pentru pregătirea răspunsului. Candidatului i se vor aloca cel puțin10 minute pentru prezentarea răspunsului elaborat.</w:t>
      </w:r>
    </w:p>
    <w:p w14:paraId="6D8C1CF1" w14:textId="77777777" w:rsidR="00171BB6" w:rsidRDefault="00710B95">
      <w:pPr>
        <w:pStyle w:val="Articol"/>
        <w:rPr>
          <w:rFonts w:cs="Times New Roman"/>
          <w:iCs/>
        </w:rPr>
      </w:pPr>
      <w:r>
        <w:lastRenderedPageBreak/>
        <w:t>Art. 4</w:t>
      </w:r>
    </w:p>
    <w:p w14:paraId="333F40C3" w14:textId="77777777" w:rsidR="00171BB6" w:rsidRDefault="00710B95">
      <w:pPr>
        <w:pStyle w:val="BodyText"/>
        <w:numPr>
          <w:ilvl w:val="0"/>
          <w:numId w:val="9"/>
        </w:numPr>
      </w:pPr>
      <w:r>
        <w:t>Prezentarea și susținerea lucrării de licență (proba 2) se desfășoară după promovarea probei 1.</w:t>
      </w:r>
    </w:p>
    <w:p w14:paraId="1CA45262" w14:textId="77777777" w:rsidR="00171BB6" w:rsidRDefault="00710B95">
      <w:pPr>
        <w:pStyle w:val="BodyText"/>
        <w:numPr>
          <w:ilvl w:val="0"/>
          <w:numId w:val="2"/>
        </w:numPr>
      </w:pPr>
      <w:r>
        <w:t xml:space="preserve">Fiecărui absolvent i se vor aloca cel puțin 10 minute pentru prezentarea lucrării de licență și 5 minute pentru a răspunde întrebărilor comisiei de examen. </w:t>
      </w:r>
    </w:p>
    <w:p w14:paraId="66F92F66" w14:textId="77777777" w:rsidR="00171BB6" w:rsidRDefault="00710B95">
      <w:pPr>
        <w:pStyle w:val="BodyText"/>
        <w:numPr>
          <w:ilvl w:val="0"/>
          <w:numId w:val="2"/>
        </w:numPr>
        <w:rPr>
          <w:rFonts w:cs="Times New Roman"/>
          <w:sz w:val="24"/>
          <w:szCs w:val="24"/>
        </w:rPr>
      </w:pPr>
      <w:r>
        <w:t>Nota pentru lucrarea de licență se acordă de comisia de examen, pe baza susținerii în plenul comisiei. Comisia evaluează atât lucrarea cât și susținerea acesteia.</w:t>
      </w:r>
    </w:p>
    <w:p w14:paraId="009C45EF" w14:textId="77777777" w:rsidR="00171BB6" w:rsidRDefault="00710B95">
      <w:pPr>
        <w:spacing w:before="360" w:after="0" w:line="240" w:lineRule="auto"/>
        <w:rPr>
          <w:rFonts w:cs="Times New Roman"/>
          <w:b/>
          <w:sz w:val="24"/>
          <w:szCs w:val="24"/>
        </w:rPr>
      </w:pPr>
      <w:r>
        <w:rPr>
          <w:rFonts w:cs="Times New Roman"/>
          <w:b/>
          <w:sz w:val="24"/>
          <w:szCs w:val="24"/>
        </w:rPr>
        <w:t>Art. 5</w:t>
      </w:r>
    </w:p>
    <w:p w14:paraId="06338831" w14:textId="77777777" w:rsidR="00171BB6" w:rsidRDefault="00710B95">
      <w:pPr>
        <w:pStyle w:val="BodyText"/>
        <w:numPr>
          <w:ilvl w:val="0"/>
          <w:numId w:val="10"/>
        </w:numPr>
      </w:pPr>
      <w:r>
        <w:t>Lucrarea de licență este o lucrare științifică de minim 30 pagini (excluzând bibliografia și anexele), redactată conform criteriilor postate pe site-ul specializării cu cel puțin 6 luni înainte de data examenului de licență.</w:t>
      </w:r>
    </w:p>
    <w:p w14:paraId="01FC7348" w14:textId="77777777" w:rsidR="00171BB6" w:rsidRDefault="00710B95">
      <w:pPr>
        <w:pStyle w:val="BodyText"/>
        <w:numPr>
          <w:ilvl w:val="0"/>
          <w:numId w:val="2"/>
        </w:numPr>
      </w:pPr>
      <w:r>
        <w:t>Candidatul este răspunzător pentru utilizarea corectă a bibliografiei. Plagiatul (preluarea fără citări a unei lucrări sau a unei/unor părți din alte lucrări de licență, cărți, studii, articole, etc.) se sancționează cu excluderea candidatului de la examenul de licență.</w:t>
      </w:r>
    </w:p>
    <w:p w14:paraId="4CDF47F6" w14:textId="77777777" w:rsidR="00171BB6" w:rsidRDefault="00710B95">
      <w:pPr>
        <w:pStyle w:val="BodyText"/>
        <w:numPr>
          <w:ilvl w:val="0"/>
          <w:numId w:val="2"/>
        </w:numPr>
      </w:pPr>
      <w:r>
        <w:t>Coordonatorii lucrărilor de licență răspund în solidar cu autorii acestora de asigurarea originalității conținutului acestora.</w:t>
      </w:r>
    </w:p>
    <w:p w14:paraId="2CD888C8" w14:textId="77777777" w:rsidR="00171BB6" w:rsidRDefault="00710B95">
      <w:pPr>
        <w:pStyle w:val="BodyText"/>
        <w:numPr>
          <w:ilvl w:val="0"/>
          <w:numId w:val="2"/>
        </w:numPr>
      </w:pPr>
      <w:r>
        <w:t>Verificarea antiplagiat va fi realizată de către biblioteca universitară, la solicitarea absolventului.</w:t>
      </w:r>
    </w:p>
    <w:p w14:paraId="0A042299" w14:textId="77777777" w:rsidR="00171BB6" w:rsidRDefault="00710B95">
      <w:pPr>
        <w:pStyle w:val="BodyText"/>
        <w:numPr>
          <w:ilvl w:val="0"/>
          <w:numId w:val="2"/>
        </w:numPr>
        <w:rPr>
          <w:rFonts w:cs="Times New Roman"/>
          <w:sz w:val="24"/>
          <w:szCs w:val="24"/>
        </w:rPr>
      </w:pPr>
      <w:r>
        <w:t>Coeficientul de similaritate („similarity index”) nu poate depăși 20%, iar absolventul va anexa la lucrarea sa raportul de antiplagiat semnat de conducătorul științific al lucrării.</w:t>
      </w:r>
    </w:p>
    <w:p w14:paraId="5BAFF510" w14:textId="77777777" w:rsidR="00171BB6" w:rsidRDefault="00710B95">
      <w:pPr>
        <w:pStyle w:val="Articol"/>
        <w:rPr>
          <w:rFonts w:cs="Times New Roman"/>
        </w:rPr>
      </w:pPr>
      <w:r>
        <w:t>Art. 6</w:t>
      </w:r>
    </w:p>
    <w:p w14:paraId="08594A79" w14:textId="77777777" w:rsidR="00171BB6" w:rsidRDefault="00710B95">
      <w:pPr>
        <w:pStyle w:val="BodyText"/>
        <w:numPr>
          <w:ilvl w:val="0"/>
          <w:numId w:val="11"/>
        </w:numPr>
      </w:pPr>
      <w:r>
        <w:t>Media unei probe se calculează ca medie aritmetică a notelor membrilor comisiei de examen.</w:t>
      </w:r>
    </w:p>
    <w:p w14:paraId="648AA765" w14:textId="77777777" w:rsidR="00171BB6" w:rsidRDefault="00710B95">
      <w:pPr>
        <w:pStyle w:val="BodyText"/>
        <w:numPr>
          <w:ilvl w:val="0"/>
          <w:numId w:val="2"/>
        </w:numPr>
      </w:pPr>
      <w:r>
        <w:t xml:space="preserve">Media examenului de licență se calculează ca medie aritmetică a rezultatelor probelor de examen. </w:t>
      </w:r>
    </w:p>
    <w:p w14:paraId="3644CAAC" w14:textId="77777777" w:rsidR="00171BB6" w:rsidRDefault="00710B95">
      <w:pPr>
        <w:pStyle w:val="BodyText"/>
        <w:numPr>
          <w:ilvl w:val="0"/>
          <w:numId w:val="2"/>
        </w:numPr>
      </w:pPr>
      <w:r>
        <w:t>Media unei probe și media examenului de licență se determină cu două zecimale, fără rotunjire.</w:t>
      </w:r>
    </w:p>
    <w:p w14:paraId="0820016E" w14:textId="77777777" w:rsidR="00171BB6" w:rsidRDefault="00710B95">
      <w:pPr>
        <w:pStyle w:val="BodyText"/>
        <w:numPr>
          <w:ilvl w:val="0"/>
          <w:numId w:val="2"/>
        </w:numPr>
      </w:pPr>
      <w:r>
        <w:t>Notele membrilor comisiei de examen sunt note întregi de la 1 la 10.</w:t>
      </w:r>
    </w:p>
    <w:p w14:paraId="4EE37D60" w14:textId="77777777" w:rsidR="00171BB6" w:rsidRDefault="00710B95">
      <w:pPr>
        <w:pStyle w:val="BodyText"/>
        <w:numPr>
          <w:ilvl w:val="0"/>
          <w:numId w:val="2"/>
        </w:numPr>
        <w:rPr>
          <w:rFonts w:cs="Times New Roman"/>
          <w:sz w:val="24"/>
          <w:szCs w:val="24"/>
        </w:rPr>
      </w:pPr>
      <w:r>
        <w:t>Examenul de licență se consideră promovat dacă probele componente sunt promovate, iar media examenului este de cel puțin 6,00. O probă a examenului de licență se consideră promovată, dacă media probei este cel puțin 5,00.</w:t>
      </w:r>
    </w:p>
    <w:p w14:paraId="084DB05C" w14:textId="77777777" w:rsidR="00171BB6" w:rsidRDefault="00710B95">
      <w:pPr>
        <w:pStyle w:val="Articol"/>
        <w:rPr>
          <w:rFonts w:cs="Times New Roman"/>
        </w:rPr>
      </w:pPr>
      <w:r>
        <w:t>Art. 7</w:t>
      </w:r>
    </w:p>
    <w:p w14:paraId="27735CCA" w14:textId="77777777" w:rsidR="00171BB6" w:rsidRDefault="00710B95">
      <w:pPr>
        <w:pStyle w:val="BodyText"/>
        <w:rPr>
          <w:rFonts w:cs="Times New Roman"/>
          <w:sz w:val="24"/>
          <w:szCs w:val="24"/>
        </w:rPr>
      </w:pPr>
      <w:r>
        <w:t xml:space="preserve">Prevederile prezentei Metodologii se aplică în Departamentul de Științe Socio-Umane, Facultatea de Științe Economice și Sociale, începând cu anul universitar 2025-2026, și sunt aplicabile și absolvenților care nu au susținut sau nu au promovat examenul de promovare a studiilor până la intrarea în vigoare a acestei metodologii. </w:t>
      </w:r>
    </w:p>
    <w:sectPr w:rsidR="00171BB6">
      <w:headerReference w:type="even" r:id="rId7"/>
      <w:headerReference w:type="default" r:id="rId8"/>
      <w:headerReference w:type="first" r:id="rId9"/>
      <w:pgSz w:w="11906" w:h="16838"/>
      <w:pgMar w:top="3515" w:right="1134" w:bottom="1134" w:left="1134" w:header="1134"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ABECC" w14:textId="77777777" w:rsidR="00D469DE" w:rsidRDefault="00D469DE">
      <w:pPr>
        <w:spacing w:after="0" w:line="240" w:lineRule="auto"/>
      </w:pPr>
      <w:r>
        <w:separator/>
      </w:r>
    </w:p>
  </w:endnote>
  <w:endnote w:type="continuationSeparator" w:id="0">
    <w:p w14:paraId="42B6F91D" w14:textId="77777777" w:rsidR="00D469DE" w:rsidRDefault="00D46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CJK SC">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CC14D" w14:textId="77777777" w:rsidR="00D469DE" w:rsidRDefault="00D469DE">
      <w:pPr>
        <w:spacing w:after="0" w:line="240" w:lineRule="auto"/>
      </w:pPr>
      <w:r>
        <w:separator/>
      </w:r>
    </w:p>
  </w:footnote>
  <w:footnote w:type="continuationSeparator" w:id="0">
    <w:p w14:paraId="65D5BC66" w14:textId="77777777" w:rsidR="00D469DE" w:rsidRDefault="00D469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986DA" w14:textId="77777777" w:rsidR="00171BB6" w:rsidRDefault="00171B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A2A2F" w14:textId="77777777" w:rsidR="00171BB6" w:rsidRDefault="00710B95">
    <w:pPr>
      <w:pStyle w:val="Header"/>
    </w:pPr>
    <w:r>
      <w:rPr>
        <w:noProof/>
        <w:lang w:val="en-GB" w:eastAsia="en-GB"/>
      </w:rPr>
      <w:drawing>
        <wp:anchor distT="0" distB="0" distL="0" distR="0" simplePos="0" relativeHeight="251657216" behindDoc="1" locked="0" layoutInCell="0" allowOverlap="1" wp14:anchorId="150A0C23" wp14:editId="3D804859">
          <wp:simplePos x="0" y="0"/>
          <wp:positionH relativeFrom="column">
            <wp:align>center</wp:align>
          </wp:positionH>
          <wp:positionV relativeFrom="paragraph">
            <wp:posOffset>635</wp:posOffset>
          </wp:positionV>
          <wp:extent cx="6336030" cy="1321435"/>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
                  <a:stretch>
                    <a:fillRect/>
                  </a:stretch>
                </pic:blipFill>
                <pic:spPr bwMode="auto">
                  <a:xfrm>
                    <a:off x="0" y="0"/>
                    <a:ext cx="6336030" cy="132143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CEAF" w14:textId="77777777" w:rsidR="00171BB6" w:rsidRDefault="00710B95">
    <w:pPr>
      <w:pStyle w:val="Header"/>
    </w:pPr>
    <w:r>
      <w:rPr>
        <w:noProof/>
        <w:lang w:val="en-GB" w:eastAsia="en-GB"/>
      </w:rPr>
      <w:drawing>
        <wp:anchor distT="0" distB="0" distL="0" distR="0" simplePos="0" relativeHeight="251658240" behindDoc="1" locked="0" layoutInCell="0" allowOverlap="1" wp14:anchorId="7D64498E" wp14:editId="0B66DAE1">
          <wp:simplePos x="0" y="0"/>
          <wp:positionH relativeFrom="column">
            <wp:align>center</wp:align>
          </wp:positionH>
          <wp:positionV relativeFrom="paragraph">
            <wp:posOffset>635</wp:posOffset>
          </wp:positionV>
          <wp:extent cx="6336030" cy="1321435"/>
          <wp:effectExtent l="0" t="0" r="0" b="0"/>
          <wp:wrapSquare wrapText="largest"/>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1"/>
                  <a:stretch>
                    <a:fillRect/>
                  </a:stretch>
                </pic:blipFill>
                <pic:spPr bwMode="auto">
                  <a:xfrm>
                    <a:off x="0" y="0"/>
                    <a:ext cx="6336030" cy="13214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23F71"/>
    <w:multiLevelType w:val="multilevel"/>
    <w:tmpl w:val="0A9C6BB8"/>
    <w:lvl w:ilvl="0">
      <w:start w:val="1"/>
      <w:numFmt w:val="decimal"/>
      <w:lvlText w:val="(%1)"/>
      <w:lvlJc w:val="left"/>
      <w:pPr>
        <w:tabs>
          <w:tab w:val="num" w:pos="397"/>
        </w:tabs>
        <w:ind w:left="397" w:hanging="397"/>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B8E518E"/>
    <w:multiLevelType w:val="multilevel"/>
    <w:tmpl w:val="D702F43A"/>
    <w:lvl w:ilvl="0">
      <w:start w:val="1"/>
      <w:numFmt w:val="decimal"/>
      <w:lvlText w:val="(%1)"/>
      <w:lvlJc w:val="left"/>
      <w:pPr>
        <w:tabs>
          <w:tab w:val="num" w:pos="397"/>
        </w:tabs>
        <w:ind w:left="397" w:hanging="397"/>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35125E7"/>
    <w:multiLevelType w:val="multilevel"/>
    <w:tmpl w:val="A5F89C42"/>
    <w:lvl w:ilvl="0">
      <w:start w:val="1"/>
      <w:numFmt w:val="decimal"/>
      <w:lvlText w:val="(%1)"/>
      <w:lvlJc w:val="left"/>
      <w:pPr>
        <w:tabs>
          <w:tab w:val="num" w:pos="397"/>
        </w:tabs>
        <w:ind w:left="397" w:hanging="397"/>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5B00526A"/>
    <w:multiLevelType w:val="multilevel"/>
    <w:tmpl w:val="E86C2B7A"/>
    <w:lvl w:ilvl="0">
      <w:start w:val="1"/>
      <w:numFmt w:val="decimal"/>
      <w:lvlText w:val="(%1)"/>
      <w:lvlJc w:val="left"/>
      <w:pPr>
        <w:tabs>
          <w:tab w:val="num" w:pos="397"/>
        </w:tabs>
        <w:ind w:left="397" w:hanging="397"/>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6D802177"/>
    <w:multiLevelType w:val="multilevel"/>
    <w:tmpl w:val="25B030AA"/>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78674DF0"/>
    <w:multiLevelType w:val="multilevel"/>
    <w:tmpl w:val="8B7228F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7C004DB7"/>
    <w:multiLevelType w:val="multilevel"/>
    <w:tmpl w:val="61A2E34E"/>
    <w:lvl w:ilvl="0">
      <w:start w:val="1"/>
      <w:numFmt w:val="decimal"/>
      <w:lvlText w:val="(%1)"/>
      <w:lvlJc w:val="left"/>
      <w:pPr>
        <w:tabs>
          <w:tab w:val="num" w:pos="397"/>
        </w:tabs>
        <w:ind w:left="397" w:hanging="397"/>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248881702">
    <w:abstractNumId w:val="4"/>
  </w:num>
  <w:num w:numId="2" w16cid:durableId="905072733">
    <w:abstractNumId w:val="2"/>
  </w:num>
  <w:num w:numId="3" w16cid:durableId="72515088">
    <w:abstractNumId w:val="1"/>
  </w:num>
  <w:num w:numId="4" w16cid:durableId="1710493193">
    <w:abstractNumId w:val="6"/>
  </w:num>
  <w:num w:numId="5" w16cid:durableId="1581213206">
    <w:abstractNumId w:val="3"/>
  </w:num>
  <w:num w:numId="6" w16cid:durableId="1793481381">
    <w:abstractNumId w:val="0"/>
  </w:num>
  <w:num w:numId="7" w16cid:durableId="1379696282">
    <w:abstractNumId w:val="5"/>
  </w:num>
  <w:num w:numId="8" w16cid:durableId="1978796468">
    <w:abstractNumId w:val="2"/>
    <w:lvlOverride w:ilvl="0">
      <w:startOverride w:val="1"/>
    </w:lvlOverride>
  </w:num>
  <w:num w:numId="9" w16cid:durableId="642777280">
    <w:abstractNumId w:val="2"/>
    <w:lvlOverride w:ilvl="0">
      <w:startOverride w:val="1"/>
    </w:lvlOverride>
  </w:num>
  <w:num w:numId="10" w16cid:durableId="790854484">
    <w:abstractNumId w:val="2"/>
    <w:lvlOverride w:ilvl="0">
      <w:startOverride w:val="1"/>
    </w:lvlOverride>
  </w:num>
  <w:num w:numId="11" w16cid:durableId="732703925">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BB6"/>
    <w:rsid w:val="00171BB6"/>
    <w:rsid w:val="003F3930"/>
    <w:rsid w:val="006A43B5"/>
    <w:rsid w:val="00710B95"/>
    <w:rsid w:val="00B6766C"/>
    <w:rsid w:val="00D469DE"/>
    <w:rsid w:val="00E74FF0"/>
    <w:rsid w:val="00F25538"/>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B1CCA"/>
  <w15:docId w15:val="{96F3C69D-E20C-4092-83F9-D0D221630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A20"/>
    <w:pPr>
      <w:spacing w:after="200" w:line="276" w:lineRule="auto"/>
    </w:pPr>
    <w:rPr>
      <w:rFonts w:ascii="Times New Roman" w:hAnsi="Times New Roman"/>
      <w:lang w:val="ro-RO"/>
    </w:rPr>
  </w:style>
  <w:style w:type="paragraph" w:styleId="Heading1">
    <w:name w:val="heading 1"/>
    <w:next w:val="Normal"/>
    <w:qFormat/>
    <w:pPr>
      <w:numPr>
        <w:numId w:val="1"/>
      </w:numPr>
      <w:spacing w:before="113" w:after="113" w:line="276" w:lineRule="auto"/>
      <w:outlineLvl w:val="0"/>
    </w:pPr>
    <w:rPr>
      <w:b/>
      <w:bCs/>
      <w:sz w:val="24"/>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eastAsia="Noto Sans CJK SC" w:cs="Noto Sans Devanagari"/>
      <w:sz w:val="28"/>
      <w:szCs w:val="28"/>
    </w:rPr>
  </w:style>
  <w:style w:type="paragraph" w:styleId="BodyText">
    <w:name w:val="Body Text"/>
    <w:basedOn w:val="Normal"/>
    <w:pPr>
      <w:spacing w:after="85"/>
      <w:jc w:val="both"/>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Noto Sans Devanagari"/>
    </w:rPr>
  </w:style>
  <w:style w:type="paragraph" w:styleId="ListParagraph">
    <w:name w:val="List Paragraph"/>
    <w:basedOn w:val="Normal"/>
    <w:uiPriority w:val="34"/>
    <w:qFormat/>
    <w:rsid w:val="00611A20"/>
    <w:pPr>
      <w:spacing w:after="85"/>
      <w:ind w:left="720"/>
      <w:contextualSpacing/>
    </w:pPr>
  </w:style>
  <w:style w:type="paragraph" w:styleId="Title">
    <w:name w:val="Title"/>
    <w:basedOn w:val="Heading"/>
    <w:next w:val="BodyText"/>
    <w:qFormat/>
    <w:pPr>
      <w:spacing w:before="0" w:after="227"/>
      <w:jc w:val="center"/>
    </w:pPr>
    <w:rPr>
      <w:b/>
      <w:bCs/>
      <w:szCs w:val="56"/>
    </w:rPr>
  </w:style>
  <w:style w:type="paragraph" w:styleId="Subtitle">
    <w:name w:val="Subtitle"/>
    <w:basedOn w:val="Title"/>
    <w:next w:val="BodyText"/>
    <w:qFormat/>
    <w:pPr>
      <w:spacing w:after="340"/>
    </w:pPr>
    <w:rPr>
      <w:sz w:val="24"/>
      <w:szCs w:val="36"/>
    </w:rPr>
  </w:style>
  <w:style w:type="paragraph" w:customStyle="1" w:styleId="Articol">
    <w:name w:val="Articol"/>
    <w:basedOn w:val="Normal"/>
    <w:qFormat/>
    <w:pPr>
      <w:spacing w:before="113" w:after="0"/>
    </w:pPr>
    <w:rPr>
      <w:b/>
      <w:sz w:val="24"/>
      <w:szCs w:val="24"/>
    </w:rPr>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HeaderandFooter"/>
  </w:style>
  <w:style w:type="numbering" w:customStyle="1" w:styleId="Bullet">
    <w:name w:val="Bullet –"/>
    <w:qFormat/>
  </w:style>
  <w:style w:type="numbering" w:customStyle="1" w:styleId="Numberingabc">
    <w:name w:val="Numbering abc"/>
    <w:qFormat/>
  </w:style>
  <w:style w:type="numbering" w:customStyle="1" w:styleId="Numbering123">
    <w:name w:val="Numbering (12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626</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Belényi Emese</dc:creator>
  <cp:lastModifiedBy>Belényi Emese</cp:lastModifiedBy>
  <cp:revision>2</cp:revision>
  <dcterms:created xsi:type="dcterms:W3CDTF">2026-03-17T11:33:00Z</dcterms:created>
  <dcterms:modified xsi:type="dcterms:W3CDTF">2026-03-17T11:33:00Z</dcterms:modified>
  <dc:language>ro-RO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4a85e409cf098b16efdbfa4297f2cef09e89a7d9541ccad458b3a027c741fed3</vt:lpwstr>
  </property>
</Properties>
</file>