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DDB" w:rsidRDefault="00C976D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Informații post</w:t>
      </w:r>
      <w:r>
        <w:rPr>
          <w:rFonts w:ascii="Times New Roman" w:eastAsia="Times New Roman" w:hAnsi="Times New Roman" w:cs="Times New Roman"/>
          <w:sz w:val="24"/>
          <w:szCs w:val="24"/>
          <w:lang w:eastAsia="hu-HU"/>
        </w:rPr>
        <w:t xml:space="preserve"> </w:t>
      </w:r>
    </w:p>
    <w:tbl>
      <w:tblPr>
        <w:tblW w:w="4900" w:type="pct"/>
        <w:tblInd w:w="75" w:type="dxa"/>
        <w:tblLayout w:type="fixed"/>
        <w:tblCellMar>
          <w:top w:w="15" w:type="dxa"/>
          <w:left w:w="22" w:type="dxa"/>
          <w:bottom w:w="15" w:type="dxa"/>
          <w:right w:w="22" w:type="dxa"/>
        </w:tblCellMar>
        <w:tblLook w:val="04A0" w:firstRow="1" w:lastRow="0" w:firstColumn="1" w:lastColumn="0" w:noHBand="0" w:noVBand="1"/>
      </w:tblPr>
      <w:tblGrid>
        <w:gridCol w:w="4252"/>
        <w:gridCol w:w="5236"/>
      </w:tblGrid>
      <w:tr w:rsidR="003D0DDB">
        <w:tc>
          <w:tcPr>
            <w:tcW w:w="4232" w:type="dxa"/>
            <w:tcBorders>
              <w:top w:val="outset" w:sz="2" w:space="0" w:color="000000"/>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Universitatea</w:t>
            </w:r>
          </w:p>
        </w:tc>
        <w:tc>
          <w:tcPr>
            <w:tcW w:w="5212" w:type="dxa"/>
            <w:tcBorders>
              <w:top w:val="outset" w:sz="2" w:space="0" w:color="000000"/>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UNIVERSITATEA CREŞTINĂ „PARTIUM” DIN ORADEA</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Facultatea</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Facultatea de Științe Economice și Sociale</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Departament</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Departamentul de Științe Socio-Umane</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Poziția în statul de funcții</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Funcție</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conferențiar</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Disciplinele din planul de învățământ</w:t>
            </w:r>
          </w:p>
        </w:tc>
        <w:tc>
          <w:tcPr>
            <w:tcW w:w="5212" w:type="dxa"/>
            <w:tcBorders>
              <w:left w:val="outset" w:sz="2" w:space="0" w:color="000000"/>
              <w:bottom w:val="outset" w:sz="2" w:space="0" w:color="000000"/>
              <w:right w:val="outset" w:sz="2" w:space="0" w:color="000000"/>
            </w:tcBorders>
            <w:vAlign w:val="center"/>
          </w:tcPr>
          <w:p w:rsidR="00766B63" w:rsidRDefault="00766B63" w:rsidP="00766B63">
            <w:pPr>
              <w:spacing w:before="120"/>
              <w:rPr>
                <w:b/>
              </w:rPr>
            </w:pPr>
            <w:r>
              <w:rPr>
                <w:b/>
              </w:rPr>
              <w:t>Teorii sociologice contemporane</w:t>
            </w:r>
          </w:p>
          <w:p w:rsidR="00766B63" w:rsidRDefault="00766B63" w:rsidP="00766B63">
            <w:pPr>
              <w:spacing w:before="120"/>
              <w:rPr>
                <w:b/>
              </w:rPr>
            </w:pPr>
            <w:r>
              <w:rPr>
                <w:b/>
              </w:rPr>
              <w:t>Calitatea vieții</w:t>
            </w:r>
          </w:p>
          <w:p w:rsidR="00766B63" w:rsidRDefault="00766B63" w:rsidP="00766B63">
            <w:pPr>
              <w:spacing w:before="120"/>
              <w:rPr>
                <w:b/>
              </w:rPr>
            </w:pPr>
            <w:r>
              <w:rPr>
                <w:b/>
              </w:rPr>
              <w:t>Fondurile structurale din domeniul social – Fondul Social European</w:t>
            </w:r>
          </w:p>
          <w:p w:rsidR="00766B63" w:rsidRDefault="00766B63" w:rsidP="00766B63">
            <w:pPr>
              <w:spacing w:before="120"/>
              <w:rPr>
                <w:b/>
              </w:rPr>
            </w:pPr>
            <w:r>
              <w:rPr>
                <w:b/>
              </w:rPr>
              <w:t>Sociologia bunăstării sociale</w:t>
            </w:r>
          </w:p>
          <w:p w:rsidR="00766B63" w:rsidRDefault="00766B63" w:rsidP="00766B63">
            <w:pPr>
              <w:spacing w:before="120"/>
              <w:rPr>
                <w:b/>
              </w:rPr>
            </w:pPr>
            <w:r>
              <w:rPr>
                <w:b/>
              </w:rPr>
              <w:t>Teorii sociologice contemporane</w:t>
            </w:r>
          </w:p>
          <w:p w:rsidR="00766B63" w:rsidRDefault="00766B63" w:rsidP="00766B63">
            <w:pPr>
              <w:spacing w:before="120"/>
              <w:rPr>
                <w:b/>
              </w:rPr>
            </w:pPr>
            <w:r>
              <w:rPr>
                <w:b/>
              </w:rPr>
              <w:t>Calitatea vieții</w:t>
            </w:r>
          </w:p>
          <w:p w:rsidR="00766B63" w:rsidRDefault="00766B63" w:rsidP="00766B63">
            <w:pPr>
              <w:spacing w:before="120"/>
              <w:rPr>
                <w:b/>
              </w:rPr>
            </w:pPr>
            <w:r>
              <w:rPr>
                <w:b/>
              </w:rPr>
              <w:t>Fondurile structurale din domeniul social – Fondul Social European</w:t>
            </w:r>
          </w:p>
          <w:p w:rsidR="00766B63" w:rsidRDefault="00766B63" w:rsidP="00766B63">
            <w:pPr>
              <w:spacing w:before="120"/>
              <w:rPr>
                <w:b/>
              </w:rPr>
            </w:pPr>
            <w:r>
              <w:rPr>
                <w:b/>
              </w:rPr>
              <w:t>Sociologia bunăstării sociale</w:t>
            </w:r>
          </w:p>
          <w:p w:rsidR="00766B63" w:rsidRDefault="00766B63">
            <w:pPr>
              <w:spacing w:before="75" w:after="75" w:line="240" w:lineRule="auto"/>
              <w:rPr>
                <w:rFonts w:ascii="Times New Roman" w:eastAsia="Times New Roman" w:hAnsi="Times New Roman" w:cs="Times New Roman"/>
                <w:sz w:val="24"/>
                <w:szCs w:val="24"/>
                <w:lang w:val="ro-RO" w:eastAsia="hu-HU"/>
              </w:rPr>
            </w:pP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Domeniu științific</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Științe sociale</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Descriere post</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Postul vacant propus pentru examenul de promovare este prevăzut</w:t>
            </w:r>
            <w:r>
              <w:rPr>
                <w:rFonts w:ascii="Times New Roman" w:eastAsia="Times New Roman" w:hAnsi="Times New Roman" w:cs="Times New Roman"/>
                <w:sz w:val="24"/>
                <w:szCs w:val="24"/>
                <w:lang w:val="ro-RO" w:eastAsia="hu-HU"/>
              </w:rPr>
              <w:t xml:space="preserve"> în </w:t>
            </w:r>
            <w:r>
              <w:rPr>
                <w:rFonts w:ascii="Times New Roman" w:eastAsia="Times New Roman" w:hAnsi="Times New Roman" w:cs="Times New Roman"/>
                <w:sz w:val="24"/>
                <w:szCs w:val="24"/>
                <w:lang w:eastAsia="hu-HU"/>
              </w:rPr>
              <w:t xml:space="preserve">Statul de funcții al Departamentului de de Științe Socio-Umane din cadrul Facultății de Științe Economice și Sociale. Disciplinele aferente postului sunt cuprinse în planul de învățământ al programelor de studii universitare de licență </w:t>
            </w:r>
            <w:r>
              <w:rPr>
                <w:rFonts w:ascii="Times New Roman" w:eastAsia="Times New Roman" w:hAnsi="Times New Roman" w:cs="Times New Roman"/>
                <w:i/>
                <w:iCs/>
                <w:sz w:val="24"/>
                <w:szCs w:val="24"/>
                <w:lang w:eastAsia="hu-HU"/>
              </w:rPr>
              <w:t xml:space="preserve">Sociologie </w:t>
            </w:r>
            <w:r>
              <w:rPr>
                <w:rFonts w:ascii="Times New Roman" w:eastAsia="Times New Roman" w:hAnsi="Times New Roman" w:cs="Times New Roman"/>
                <w:sz w:val="24"/>
                <w:szCs w:val="24"/>
                <w:lang w:eastAsia="hu-HU"/>
              </w:rPr>
              <w:t xml:space="preserve">și </w:t>
            </w:r>
            <w:r>
              <w:rPr>
                <w:rFonts w:ascii="Times New Roman" w:eastAsia="Times New Roman" w:hAnsi="Times New Roman" w:cs="Times New Roman"/>
                <w:i/>
                <w:iCs/>
                <w:sz w:val="24"/>
                <w:szCs w:val="24"/>
                <w:lang w:eastAsia="hu-HU"/>
              </w:rPr>
              <w:t>Asistență socială</w:t>
            </w:r>
            <w:r>
              <w:rPr>
                <w:rFonts w:ascii="Times New Roman" w:eastAsia="Times New Roman" w:hAnsi="Times New Roman" w:cs="Times New Roman"/>
                <w:sz w:val="24"/>
                <w:szCs w:val="24"/>
                <w:lang w:eastAsia="hu-HU"/>
              </w:rPr>
              <w:t xml:space="preserve">, respectiv al programului de studii universitare de master </w:t>
            </w:r>
            <w:r>
              <w:rPr>
                <w:rFonts w:ascii="Times New Roman" w:eastAsia="Times New Roman" w:hAnsi="Times New Roman" w:cs="Times New Roman"/>
                <w:i/>
                <w:iCs/>
                <w:sz w:val="24"/>
                <w:szCs w:val="24"/>
                <w:lang w:eastAsia="hu-HU"/>
              </w:rPr>
              <w:t>Asistență socială – Politici sociale europene</w:t>
            </w:r>
            <w:r>
              <w:rPr>
                <w:rFonts w:ascii="Times New Roman" w:eastAsia="Times New Roman" w:hAnsi="Times New Roman" w:cs="Times New Roman"/>
                <w:sz w:val="24"/>
                <w:szCs w:val="24"/>
                <w:lang w:eastAsia="hu-HU"/>
              </w:rPr>
              <w:t>.</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Atribuțiile/activitățile aferente</w:t>
            </w:r>
          </w:p>
        </w:tc>
        <w:tc>
          <w:tcPr>
            <w:tcW w:w="5212" w:type="dxa"/>
            <w:tcBorders>
              <w:left w:val="outset" w:sz="2" w:space="0" w:color="000000"/>
              <w:bottom w:val="outset" w:sz="2" w:space="0" w:color="000000"/>
              <w:right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Norma didactică: 9,25 ore/săptămână</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1. Susţinerea orelor de curs şi seminar, în conformitate cu planul de învăţământ şi fişele disciplinelor.</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2. Verificarea studenţilor pe parcurs şi evaluarea finală.</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3. Îndrumarea studenţilor pentru elaborarea lucrărilor de licenţă.</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4. Coordonarea unor lucrări ştiinţifice studenţeşti.</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 xml:space="preserve">5. Participarea la activitatea de cercetare ştiinţifică a </w:t>
            </w:r>
            <w:r>
              <w:rPr>
                <w:rFonts w:ascii="Times New Roman" w:eastAsia="Times New Roman" w:hAnsi="Times New Roman" w:cs="Times New Roman"/>
                <w:sz w:val="24"/>
                <w:szCs w:val="24"/>
                <w:lang w:val="ro-RO" w:eastAsia="hu-HU"/>
              </w:rPr>
              <w:lastRenderedPageBreak/>
              <w:t>departamentului şi publicarea de lucrări ştiinţifice.</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6. Participarea directă la toate activităţile departamentului, ale facultăţii şi ale Universităţii.</w:t>
            </w:r>
          </w:p>
          <w:p w:rsidR="003D0DDB" w:rsidRDefault="00C976DF">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7. Activitate în comisii (admitere, finalizare a studiilor), alte activităţi stabilite de managementul universitar.</w:t>
            </w:r>
          </w:p>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Activităţi de pregătire ştiinţifică şi metodică şi alte activităţi în interesul învăţământului.</w:t>
            </w:r>
          </w:p>
        </w:tc>
      </w:tr>
      <w:tr w:rsidR="003D0DDB">
        <w:trPr>
          <w:trHeight w:val="374"/>
        </w:trPr>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Data susținerii prelegerii</w:t>
            </w:r>
          </w:p>
        </w:tc>
        <w:tc>
          <w:tcPr>
            <w:tcW w:w="5212" w:type="dxa"/>
            <w:tcBorders>
              <w:left w:val="outset" w:sz="2" w:space="0" w:color="000000"/>
              <w:bottom w:val="outset" w:sz="2" w:space="0" w:color="000000"/>
              <w:right w:val="outset" w:sz="2" w:space="0" w:color="000000"/>
            </w:tcBorders>
            <w:vAlign w:val="center"/>
          </w:tcPr>
          <w:p w:rsidR="003D0DDB" w:rsidRDefault="00C45A4C">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07.07.2026</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Ora susținerii prelegerii</w:t>
            </w:r>
          </w:p>
        </w:tc>
        <w:tc>
          <w:tcPr>
            <w:tcW w:w="5212" w:type="dxa"/>
            <w:tcBorders>
              <w:left w:val="outset" w:sz="2" w:space="0" w:color="000000"/>
              <w:bottom w:val="outset" w:sz="2" w:space="0" w:color="000000"/>
              <w:right w:val="outset" w:sz="2" w:space="0" w:color="000000"/>
            </w:tcBorders>
            <w:vAlign w:val="center"/>
          </w:tcPr>
          <w:p w:rsidR="003D0DDB" w:rsidRDefault="00C45A4C">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12</w:t>
            </w:r>
            <w:r w:rsidR="00C976DF">
              <w:rPr>
                <w:rFonts w:ascii="Times New Roman" w:eastAsia="Times New Roman" w:hAnsi="Times New Roman" w:cs="Times New Roman"/>
                <w:sz w:val="24"/>
                <w:szCs w:val="24"/>
                <w:lang w:eastAsia="hu-HU"/>
              </w:rPr>
              <w:t>:00</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Tematica probelor de concurs</w:t>
            </w:r>
          </w:p>
        </w:tc>
        <w:tc>
          <w:tcPr>
            <w:tcW w:w="5212" w:type="dxa"/>
            <w:tcBorders>
              <w:left w:val="outset" w:sz="2" w:space="0" w:color="000000"/>
              <w:bottom w:val="outset" w:sz="2" w:space="0" w:color="000000"/>
              <w:right w:val="outset" w:sz="2" w:space="0" w:color="000000"/>
            </w:tcBorders>
            <w:vAlign w:val="center"/>
          </w:tcPr>
          <w:p w:rsidR="003D0DDB" w:rsidRDefault="00C976DF">
            <w:pPr>
              <w:pStyle w:val="Szvegtrzs"/>
              <w:spacing w:after="0" w:line="240" w:lineRule="auto"/>
            </w:pPr>
            <w:r>
              <w:rPr>
                <w:rFonts w:ascii="Times New Roman" w:hAnsi="Times New Roman"/>
                <w:sz w:val="24"/>
                <w:szCs w:val="24"/>
                <w:lang w:val="fr-FR"/>
              </w:rPr>
              <w:t xml:space="preserve">Dosarul de evaluare a activității pedagogice, profesionale </w:t>
            </w:r>
            <w:r>
              <w:rPr>
                <w:sz w:val="24"/>
                <w:szCs w:val="24"/>
                <w:lang w:val="fr-FR"/>
              </w:rPr>
              <w:t>ș</w:t>
            </w:r>
            <w:r>
              <w:rPr>
                <w:rFonts w:ascii="Times New Roman" w:hAnsi="Times New Roman"/>
                <w:sz w:val="24"/>
                <w:szCs w:val="24"/>
                <w:lang w:val="fr-FR"/>
              </w:rPr>
              <w:t>i de cercetare/</w:t>
            </w:r>
          </w:p>
          <w:p w:rsidR="003D0DDB" w:rsidRDefault="00C976DF">
            <w:pPr>
              <w:spacing w:before="75" w:after="75" w:line="240" w:lineRule="auto"/>
            </w:pPr>
            <w:r>
              <w:rPr>
                <w:rFonts w:ascii="Times New Roman" w:hAnsi="Times New Roman"/>
                <w:sz w:val="24"/>
                <w:szCs w:val="24"/>
                <w:lang w:val="da-DK"/>
              </w:rPr>
              <w:t>Susț</w:t>
            </w:r>
            <w:r>
              <w:rPr>
                <w:rFonts w:ascii="Times New Roman" w:hAnsi="Times New Roman"/>
                <w:sz w:val="24"/>
                <w:szCs w:val="24"/>
              </w:rPr>
              <w:t>inerea unei prelegeri publice în care candidatul prezintă</w:t>
            </w:r>
            <w:r>
              <w:rPr>
                <w:sz w:val="24"/>
                <w:szCs w:val="24"/>
              </w:rPr>
              <w:t xml:space="preserve"> </w:t>
            </w:r>
            <w:r>
              <w:rPr>
                <w:rFonts w:ascii="Times New Roman" w:hAnsi="Times New Roman"/>
                <w:sz w:val="24"/>
                <w:szCs w:val="24"/>
              </w:rPr>
              <w:t>rezultatele profesionale anterioare și planul de dezvoltare a carierei universitare</w:t>
            </w:r>
          </w:p>
        </w:tc>
      </w:tr>
      <w:tr w:rsidR="003D0DDB">
        <w:tc>
          <w:tcPr>
            <w:tcW w:w="4232" w:type="dxa"/>
            <w:tcBorders>
              <w:left w:val="outset" w:sz="2" w:space="0" w:color="000000"/>
              <w:bottom w:val="outset" w:sz="2" w:space="0" w:color="000000"/>
            </w:tcBorders>
            <w:vAlign w:val="center"/>
          </w:tcPr>
          <w:p w:rsidR="003D0DDB" w:rsidRDefault="00C976DF">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Descrierea procedurii de concurs</w:t>
            </w:r>
          </w:p>
        </w:tc>
        <w:tc>
          <w:tcPr>
            <w:tcW w:w="5212" w:type="dxa"/>
            <w:tcBorders>
              <w:left w:val="outset" w:sz="2" w:space="0" w:color="000000"/>
              <w:bottom w:val="outset" w:sz="2" w:space="0" w:color="000000"/>
              <w:right w:val="outset" w:sz="2" w:space="0" w:color="000000"/>
            </w:tcBorders>
            <w:vAlign w:val="center"/>
          </w:tcPr>
          <w:p w:rsidR="003D0DDB" w:rsidRDefault="00C976DF">
            <w:pPr>
              <w:pStyle w:val="Szvegtrzs"/>
              <w:spacing w:after="0" w:line="240" w:lineRule="auto"/>
            </w:pPr>
            <w:r>
              <w:rPr>
                <w:rFonts w:ascii="Times New Roman" w:hAnsi="Times New Roman"/>
                <w:sz w:val="24"/>
                <w:szCs w:val="24"/>
                <w:lang w:val="fr-FR"/>
              </w:rPr>
              <w:t xml:space="preserve">Evaluarea dosarului candidatului de către comisia de specialitate </w:t>
            </w:r>
            <w:r>
              <w:rPr>
                <w:sz w:val="24"/>
                <w:szCs w:val="24"/>
                <w:lang w:val="fr-FR"/>
              </w:rPr>
              <w:t>ș</w:t>
            </w:r>
            <w:r>
              <w:rPr>
                <w:rFonts w:ascii="Times New Roman" w:hAnsi="Times New Roman"/>
                <w:sz w:val="24"/>
                <w:szCs w:val="24"/>
                <w:lang w:val="fr-FR"/>
              </w:rPr>
              <w:t>i verificarea îndeplinirii criteriilor minime pentru ocuparea postului</w:t>
            </w:r>
          </w:p>
          <w:p w:rsidR="003D0DDB" w:rsidRDefault="00C976DF">
            <w:pPr>
              <w:spacing w:before="75" w:after="75" w:line="240" w:lineRule="auto"/>
            </w:pPr>
            <w:r>
              <w:rPr>
                <w:rFonts w:ascii="Times New Roman" w:hAnsi="Times New Roman"/>
                <w:sz w:val="24"/>
                <w:szCs w:val="24"/>
              </w:rPr>
              <w:t>Evaluarea de către comisia de specialitate a rezultatelor profesionale anterioare ale candidatului și a planului de dezvoltare a carierei universitare</w:t>
            </w:r>
          </w:p>
        </w:tc>
      </w:tr>
    </w:tbl>
    <w:p w:rsidR="003D0DDB" w:rsidRDefault="003D0DDB"/>
    <w:p w:rsidR="00C976DF" w:rsidRDefault="00C976DF" w:rsidP="00C976D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Informații post</w:t>
      </w:r>
      <w:r>
        <w:rPr>
          <w:rFonts w:ascii="Times New Roman" w:eastAsia="Times New Roman" w:hAnsi="Times New Roman" w:cs="Times New Roman"/>
          <w:sz w:val="24"/>
          <w:szCs w:val="24"/>
          <w:lang w:eastAsia="hu-HU"/>
        </w:rPr>
        <w:t xml:space="preserve"> </w:t>
      </w:r>
    </w:p>
    <w:tbl>
      <w:tblPr>
        <w:tblW w:w="4900" w:type="pct"/>
        <w:tblInd w:w="75" w:type="dxa"/>
        <w:tblLayout w:type="fixed"/>
        <w:tblCellMar>
          <w:top w:w="15" w:type="dxa"/>
          <w:left w:w="22" w:type="dxa"/>
          <w:bottom w:w="15" w:type="dxa"/>
          <w:right w:w="22" w:type="dxa"/>
        </w:tblCellMar>
        <w:tblLook w:val="04A0" w:firstRow="1" w:lastRow="0" w:firstColumn="1" w:lastColumn="0" w:noHBand="0" w:noVBand="1"/>
      </w:tblPr>
      <w:tblGrid>
        <w:gridCol w:w="4252"/>
        <w:gridCol w:w="5236"/>
      </w:tblGrid>
      <w:tr w:rsidR="00C976DF" w:rsidTr="00363941">
        <w:tc>
          <w:tcPr>
            <w:tcW w:w="4232" w:type="dxa"/>
            <w:tcBorders>
              <w:top w:val="outset" w:sz="2" w:space="0" w:color="000000"/>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University</w:t>
            </w:r>
          </w:p>
        </w:tc>
        <w:tc>
          <w:tcPr>
            <w:tcW w:w="5212" w:type="dxa"/>
            <w:tcBorders>
              <w:top w:val="outset" w:sz="2" w:space="0" w:color="000000"/>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"PARTIUM" CHRISTIAN UNIVERSITY, ORADEA</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Faculty</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Faculty of Economics and Social Sciences</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Departament</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Department of Human and Social Sciences</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Position in the Staff Regulations</w:t>
            </w:r>
          </w:p>
        </w:tc>
        <w:tc>
          <w:tcPr>
            <w:tcW w:w="5212" w:type="dxa"/>
            <w:tcBorders>
              <w:left w:val="outset" w:sz="2" w:space="0" w:color="000000"/>
              <w:bottom w:val="outset" w:sz="2" w:space="0" w:color="000000"/>
              <w:right w:val="outset" w:sz="2" w:space="0" w:color="000000"/>
            </w:tcBorders>
            <w:vAlign w:val="center"/>
          </w:tcPr>
          <w:p w:rsidR="00C976DF" w:rsidRDefault="00C45A4C"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Function</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Associate professor</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Curriculum subjects</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Contemporary Sociological Theory, Quality of Life, Structural Funds in the Social Domain - the European Social Fund, The Sociology of Social Welfare</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Scientific field</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Social Sciences</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Job description</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The vacancy proposed for the promotion examination is foreseen in the Staff Regulations of the Department of Human and Social Sciences of the Faculty of Economic and Social Sciences. The subjects related to the post are included in the curriculum of the Master's degree program </w:t>
            </w:r>
            <w:r>
              <w:rPr>
                <w:rFonts w:ascii="Times New Roman" w:eastAsia="Times New Roman" w:hAnsi="Times New Roman" w:cs="Times New Roman"/>
                <w:i/>
                <w:iCs/>
                <w:sz w:val="24"/>
                <w:szCs w:val="24"/>
                <w:lang w:eastAsia="hu-HU"/>
              </w:rPr>
              <w:t>Social Work - European Social Politics</w:t>
            </w:r>
            <w:r>
              <w:rPr>
                <w:rFonts w:ascii="Times New Roman" w:eastAsia="Times New Roman" w:hAnsi="Times New Roman" w:cs="Times New Roman"/>
                <w:sz w:val="24"/>
                <w:szCs w:val="24"/>
                <w:lang w:eastAsia="hu-HU"/>
              </w:rPr>
              <w:t xml:space="preserve">, and the curricula of the BA programs </w:t>
            </w:r>
            <w:r>
              <w:rPr>
                <w:rFonts w:ascii="Times New Roman" w:eastAsia="Times New Roman" w:hAnsi="Times New Roman" w:cs="Times New Roman"/>
                <w:i/>
                <w:iCs/>
                <w:sz w:val="24"/>
                <w:szCs w:val="24"/>
                <w:lang w:eastAsia="hu-HU"/>
              </w:rPr>
              <w:t>Sociology</w:t>
            </w:r>
            <w:r>
              <w:rPr>
                <w:rFonts w:ascii="Times New Roman" w:eastAsia="Times New Roman" w:hAnsi="Times New Roman" w:cs="Times New Roman"/>
                <w:sz w:val="24"/>
                <w:szCs w:val="24"/>
                <w:lang w:eastAsia="hu-HU"/>
              </w:rPr>
              <w:t xml:space="preserve"> and </w:t>
            </w:r>
            <w:r>
              <w:rPr>
                <w:rFonts w:ascii="Times New Roman" w:eastAsia="Times New Roman" w:hAnsi="Times New Roman" w:cs="Times New Roman"/>
                <w:i/>
                <w:iCs/>
                <w:sz w:val="24"/>
                <w:szCs w:val="24"/>
                <w:lang w:eastAsia="hu-HU"/>
              </w:rPr>
              <w:t>Social Work</w:t>
            </w:r>
            <w:r>
              <w:rPr>
                <w:rFonts w:ascii="Times New Roman" w:eastAsia="Times New Roman" w:hAnsi="Times New Roman" w:cs="Times New Roman"/>
                <w:sz w:val="24"/>
                <w:szCs w:val="24"/>
                <w:lang w:eastAsia="hu-HU"/>
              </w:rPr>
              <w:t>.</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Related tasks/activities</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Teaching norm: 9.25 hours/week</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lastRenderedPageBreak/>
              <w:t>1. Teaching of lectures and seminars, in accordance with the syllabus and subject descriptions.</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2. Checking of students during the course and final evaluation.</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3. Guiding students in the preparation of their dissertations.</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4. Coordination of some students' scientific papers.</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5. Participation in the scientific research activity of the department and publication of scientific papers.</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6. Direct participation in all activities of the department, faculty and the university.</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7. Activity in committees (admission, finalization of studies), other activities established by university management.</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eastAsia="Times New Roman" w:hAnsi="Times New Roman" w:cs="Times New Roman"/>
                <w:sz w:val="24"/>
                <w:szCs w:val="24"/>
                <w:lang w:val="ro-RO" w:eastAsia="hu-HU"/>
              </w:rPr>
              <w:t>8. Scientific and methodical training activities and other activities in the interest of teaching.</w:t>
            </w:r>
          </w:p>
        </w:tc>
      </w:tr>
      <w:tr w:rsidR="00C976DF" w:rsidTr="00363941">
        <w:trPr>
          <w:trHeight w:val="374"/>
        </w:trPr>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Date of lecture</w:t>
            </w:r>
          </w:p>
        </w:tc>
        <w:tc>
          <w:tcPr>
            <w:tcW w:w="5212" w:type="dxa"/>
            <w:tcBorders>
              <w:left w:val="outset" w:sz="2" w:space="0" w:color="000000"/>
              <w:bottom w:val="outset" w:sz="2" w:space="0" w:color="000000"/>
              <w:right w:val="outset" w:sz="2" w:space="0" w:color="000000"/>
            </w:tcBorders>
            <w:vAlign w:val="center"/>
          </w:tcPr>
          <w:p w:rsidR="00C976DF" w:rsidRDefault="00C45A4C"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07.07.2026</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Time of lecture</w:t>
            </w:r>
          </w:p>
        </w:tc>
        <w:tc>
          <w:tcPr>
            <w:tcW w:w="5212" w:type="dxa"/>
            <w:tcBorders>
              <w:left w:val="outset" w:sz="2" w:space="0" w:color="000000"/>
              <w:bottom w:val="outset" w:sz="2" w:space="0" w:color="000000"/>
              <w:right w:val="outset" w:sz="2" w:space="0" w:color="000000"/>
            </w:tcBorders>
            <w:vAlign w:val="center"/>
          </w:tcPr>
          <w:p w:rsidR="00C976DF" w:rsidRDefault="00C45A4C"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12</w:t>
            </w:r>
            <w:bookmarkStart w:id="0" w:name="_GoBack"/>
            <w:bookmarkEnd w:id="0"/>
            <w:r w:rsidR="00C976DF">
              <w:rPr>
                <w:rFonts w:ascii="Times New Roman" w:eastAsia="Times New Roman" w:hAnsi="Times New Roman" w:cs="Times New Roman"/>
                <w:sz w:val="24"/>
                <w:szCs w:val="24"/>
                <w:lang w:eastAsia="hu-HU"/>
              </w:rPr>
              <w:t>:00</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Topics of the competition</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pStyle w:val="Szvegtrzs"/>
              <w:spacing w:after="0" w:line="240" w:lineRule="auto"/>
              <w:jc w:val="both"/>
              <w:rPr>
                <w:rFonts w:ascii="Times New Roman" w:hAnsi="Times New Roman"/>
                <w:sz w:val="24"/>
                <w:szCs w:val="24"/>
                <w:lang w:val="fr-FR"/>
              </w:rPr>
            </w:pPr>
            <w:r>
              <w:rPr>
                <w:rFonts w:ascii="Times New Roman" w:hAnsi="Times New Roman"/>
                <w:sz w:val="24"/>
                <w:szCs w:val="24"/>
                <w:lang w:val="fr-FR"/>
              </w:rPr>
              <w:t>The dossier for the evaluation of teaching, professional and research activity</w:t>
            </w:r>
          </w:p>
          <w:p w:rsidR="00C976DF" w:rsidRDefault="00C976DF" w:rsidP="00363941">
            <w:pPr>
              <w:spacing w:before="75" w:after="75" w:line="240" w:lineRule="auto"/>
              <w:rPr>
                <w:rFonts w:ascii="Times New Roman" w:eastAsia="Times New Roman" w:hAnsi="Times New Roman" w:cs="Times New Roman"/>
                <w:sz w:val="24"/>
                <w:szCs w:val="24"/>
                <w:lang w:val="ro-RO" w:eastAsia="hu-HU"/>
              </w:rPr>
            </w:pPr>
            <w:r>
              <w:rPr>
                <w:rFonts w:ascii="Times New Roman" w:hAnsi="Times New Roman"/>
                <w:sz w:val="24"/>
                <w:szCs w:val="24"/>
                <w:lang w:val="fr-FR"/>
              </w:rPr>
              <w:t>Presentation of a public lecture in which the candidate presents his/her previous professional achievements and academic career development plan</w:t>
            </w:r>
          </w:p>
        </w:tc>
      </w:tr>
      <w:tr w:rsidR="00C976DF" w:rsidTr="00363941">
        <w:tc>
          <w:tcPr>
            <w:tcW w:w="4232" w:type="dxa"/>
            <w:tcBorders>
              <w:left w:val="outset" w:sz="2" w:space="0" w:color="000000"/>
              <w:bottom w:val="outset" w:sz="2" w:space="0" w:color="000000"/>
            </w:tcBorders>
            <w:vAlign w:val="center"/>
          </w:tcPr>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Description of the competition procedure</w:t>
            </w:r>
          </w:p>
        </w:tc>
        <w:tc>
          <w:tcPr>
            <w:tcW w:w="5212" w:type="dxa"/>
            <w:tcBorders>
              <w:left w:val="outset" w:sz="2" w:space="0" w:color="000000"/>
              <w:bottom w:val="outset" w:sz="2" w:space="0" w:color="000000"/>
              <w:right w:val="outset" w:sz="2" w:space="0" w:color="000000"/>
            </w:tcBorders>
            <w:vAlign w:val="center"/>
          </w:tcPr>
          <w:p w:rsidR="00C976DF" w:rsidRDefault="00C976DF" w:rsidP="00363941">
            <w:pPr>
              <w:pStyle w:val="Szvegtrzs"/>
              <w:spacing w:after="0" w:line="240" w:lineRule="auto"/>
              <w:jc w:val="both"/>
              <w:rPr>
                <w:rFonts w:ascii="Times New Roman" w:hAnsi="Times New Roman"/>
                <w:sz w:val="24"/>
                <w:szCs w:val="24"/>
                <w:lang w:val="fr-FR"/>
              </w:rPr>
            </w:pPr>
            <w:r>
              <w:rPr>
                <w:rFonts w:ascii="Times New Roman" w:hAnsi="Times New Roman"/>
                <w:sz w:val="24"/>
                <w:szCs w:val="24"/>
                <w:lang w:val="fr-FR"/>
              </w:rPr>
              <w:t>Evaluation of the candidate's file by the specialist committee and verification that the minimum criteria for the post have been met</w:t>
            </w:r>
          </w:p>
          <w:p w:rsidR="00C976DF" w:rsidRDefault="00C976DF" w:rsidP="00363941">
            <w:pPr>
              <w:spacing w:before="75" w:after="75" w:line="240" w:lineRule="auto"/>
              <w:rPr>
                <w:rFonts w:ascii="Times New Roman" w:eastAsia="Times New Roman" w:hAnsi="Times New Roman" w:cs="Times New Roman"/>
                <w:sz w:val="24"/>
                <w:szCs w:val="24"/>
                <w:lang w:eastAsia="hu-HU"/>
              </w:rPr>
            </w:pPr>
            <w:r>
              <w:rPr>
                <w:rFonts w:ascii="Times New Roman" w:hAnsi="Times New Roman"/>
                <w:sz w:val="24"/>
                <w:szCs w:val="24"/>
                <w:lang w:val="fr-FR"/>
              </w:rPr>
              <w:t>Evaluation by the specialist committee of the candidate's previous professional results and academic career development plan</w:t>
            </w:r>
            <w:bookmarkStart w:id="1" w:name="_GoBack_Copy_1"/>
            <w:bookmarkEnd w:id="1"/>
          </w:p>
        </w:tc>
      </w:tr>
    </w:tbl>
    <w:p w:rsidR="00C976DF" w:rsidRDefault="00C976DF" w:rsidP="00C976DF"/>
    <w:p w:rsidR="00C976DF" w:rsidRDefault="00C976DF"/>
    <w:sectPr w:rsidR="00C976DF">
      <w:pgSz w:w="11906" w:h="16838"/>
      <w:pgMar w:top="1134"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DB"/>
    <w:rsid w:val="003D0DDB"/>
    <w:rsid w:val="00766B63"/>
    <w:rsid w:val="00C45A4C"/>
    <w:rsid w:val="00C976DF"/>
  </w:rsids>
  <m:mathPr>
    <m:mathFont m:val="Cambria Math"/>
    <m:brkBin m:val="before"/>
    <m:brkBinSub m:val="--"/>
    <m:smallFrac m:val="0"/>
    <m:dispDef/>
    <m:lMargin m:val="0"/>
    <m:rMargin m:val="0"/>
    <m:defJc m:val="centerGroup"/>
    <m:wrapIndent m:val="1440"/>
    <m:intLim m:val="subSup"/>
    <m:naryLim m:val="undOvr"/>
  </m:mathPr>
  <w:themeFontLang w:val="hu-H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Szvegtrzs">
    <w:name w:val="Szövegtörzs"/>
    <w:qFormat/>
    <w:rsid w:val="00E958F2"/>
    <w:pPr>
      <w:spacing w:after="200" w:line="276" w:lineRule="auto"/>
    </w:pPr>
    <w:rPr>
      <w:rFonts w:ascii="Calibri" w:eastAsia="Calibri" w:hAnsi="Calibri" w:cs="Calibri"/>
      <w:color w:val="000000"/>
      <w:u w:color="000000"/>
      <w:lang w:val="de-D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Szvegtrzs">
    <w:name w:val="Szövegtörzs"/>
    <w:qFormat/>
    <w:rsid w:val="00E958F2"/>
    <w:pPr>
      <w:spacing w:after="200" w:line="276" w:lineRule="auto"/>
    </w:pPr>
    <w:rPr>
      <w:rFonts w:ascii="Calibri" w:eastAsia="Calibri" w:hAnsi="Calibri" w:cs="Calibri"/>
      <w:color w:val="000000"/>
      <w:u w:color="000000"/>
      <w:lang w:val="de-D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Hangyál Enikő</dc:creator>
  <cp:lastModifiedBy>Hangyál Enikő</cp:lastModifiedBy>
  <cp:revision>3</cp:revision>
  <cp:lastPrinted>2013-01-04T14:08:00Z</cp:lastPrinted>
  <dcterms:created xsi:type="dcterms:W3CDTF">2026-05-06T09:12:00Z</dcterms:created>
  <dcterms:modified xsi:type="dcterms:W3CDTF">2026-05-27T06:20:00Z</dcterms:modified>
  <dc:language>ro-RO</dc:language>
</cp:coreProperties>
</file>