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C0FF" w14:textId="77777777" w:rsidR="00305474" w:rsidRDefault="00BD5F55">
      <w:pPr>
        <w:pStyle w:val="Fisatitlu"/>
      </w:pPr>
      <w:r>
        <w:t>fișa disciplinei</w:t>
      </w:r>
    </w:p>
    <w:p w14:paraId="618BCB61" w14:textId="77777777" w:rsidR="00305474" w:rsidRDefault="00BD5F55">
      <w:pPr>
        <w:pStyle w:val="Fisasubtitlu"/>
        <w:numPr>
          <w:ilvl w:val="0"/>
          <w:numId w:val="2"/>
        </w:numPr>
      </w:pPr>
      <w:r>
        <w:t>Date despre program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2"/>
        <w:gridCol w:w="5826"/>
      </w:tblGrid>
      <w:tr w:rsidR="00305474" w14:paraId="25105032" w14:textId="77777777">
        <w:trPr>
          <w:tblHeader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632C9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Instituția de învățământ superior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2E19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Universitatea Creștină Partium</w:t>
            </w:r>
          </w:p>
        </w:tc>
      </w:tr>
      <w:tr w:rsidR="00305474" w14:paraId="21BC79CF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7DE16334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Facultatea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C850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Facultatea de Științe Economice și Sociale</w:t>
            </w:r>
          </w:p>
        </w:tc>
      </w:tr>
      <w:tr w:rsidR="00305474" w14:paraId="4E1FE053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5699BE62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Departamentul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9AAE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Departamentul de Științe Socio-Umane</w:t>
            </w:r>
          </w:p>
        </w:tc>
      </w:tr>
      <w:tr w:rsidR="00305474" w14:paraId="6ED7124C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37EDA532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Domeniul de studii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4F39" w14:textId="77777777" w:rsidR="00305474" w:rsidRDefault="00484258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Științele ale educației</w:t>
            </w:r>
          </w:p>
        </w:tc>
      </w:tr>
      <w:tr w:rsidR="00305474" w14:paraId="1C4C2325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4BE5F095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Ciclul de studii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7173" w14:textId="77777777" w:rsidR="00305474" w:rsidRDefault="00BD5F55">
            <w:pPr>
              <w:pStyle w:val="TableContents"/>
              <w:widowControl w:val="0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>BA</w:t>
            </w:r>
          </w:p>
        </w:tc>
      </w:tr>
      <w:tr w:rsidR="00305474" w14:paraId="66058A1A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2FECF82B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Programul de studii/Calificarea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462A" w14:textId="77777777" w:rsidR="00305474" w:rsidRDefault="00BD5F55">
            <w:pPr>
              <w:pStyle w:val="TableContents"/>
              <w:widowControl w:val="0"/>
              <w:rPr>
                <w:szCs w:val="22"/>
                <w:lang w:val="hu-HU"/>
              </w:rPr>
            </w:pPr>
            <w:r>
              <w:rPr>
                <w:szCs w:val="22"/>
                <w:lang w:val="hu-HU"/>
              </w:rPr>
              <w:t xml:space="preserve">Pedagogia </w:t>
            </w:r>
            <w:r>
              <w:rPr>
                <w:szCs w:val="22"/>
              </w:rPr>
              <w:t>învățământului primar și preșcolar</w:t>
            </w:r>
          </w:p>
        </w:tc>
      </w:tr>
    </w:tbl>
    <w:p w14:paraId="7D900745" w14:textId="77777777" w:rsidR="00305474" w:rsidRDefault="00BD5F55">
      <w:pPr>
        <w:pStyle w:val="Fisasubtitlu"/>
        <w:numPr>
          <w:ilvl w:val="0"/>
          <w:numId w:val="2"/>
        </w:numPr>
      </w:pPr>
      <w:r>
        <w:t>Date despre disciplină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3"/>
        <w:gridCol w:w="5835"/>
      </w:tblGrid>
      <w:tr w:rsidR="00305474" w14:paraId="554E60B3" w14:textId="77777777">
        <w:trPr>
          <w:tblHeader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DDA0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Denumirea disciplinei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0AD6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  <w:lang w:val="hu-HU"/>
              </w:rPr>
              <w:t xml:space="preserve">PP3111 </w:t>
            </w:r>
            <w:r>
              <w:rPr>
                <w:szCs w:val="22"/>
              </w:rPr>
              <w:t>Didactica disciplinei dezvoltare personală</w:t>
            </w:r>
          </w:p>
        </w:tc>
      </w:tr>
      <w:tr w:rsidR="00305474" w14:paraId="5591BE0D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3AE08C44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Titularul activității de curs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F35B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t>Dr. Bordás Andrea</w:t>
            </w:r>
          </w:p>
        </w:tc>
      </w:tr>
      <w:tr w:rsidR="00305474" w14:paraId="20634F47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5334EA50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Titularul activității de seminar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E6FD" w14:textId="77777777" w:rsidR="00305474" w:rsidRDefault="00BD5F55" w:rsidP="00BD5F55">
            <w:pPr>
              <w:pStyle w:val="TableContents"/>
              <w:widowControl w:val="0"/>
              <w:rPr>
                <w:szCs w:val="22"/>
              </w:rPr>
            </w:pPr>
            <w:r>
              <w:t>Dr. Bordás Andrea</w:t>
            </w:r>
          </w:p>
        </w:tc>
      </w:tr>
      <w:tr w:rsidR="00305474" w14:paraId="04657DAA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1CE528B1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Anul de studiu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D63C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III.</w:t>
            </w:r>
          </w:p>
        </w:tc>
      </w:tr>
      <w:tr w:rsidR="00305474" w14:paraId="23053EE7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44928945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Semestrul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03D8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I.</w:t>
            </w:r>
          </w:p>
        </w:tc>
      </w:tr>
      <w:tr w:rsidR="00305474" w14:paraId="6B11E3BC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1B4AD7B2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Tipul de evaluare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8ED9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Sumativă și continuă</w:t>
            </w:r>
          </w:p>
        </w:tc>
      </w:tr>
      <w:tr w:rsidR="00305474" w14:paraId="45129522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285A9963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Regimul disciplinei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28A2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DS opțional</w:t>
            </w:r>
          </w:p>
        </w:tc>
      </w:tr>
    </w:tbl>
    <w:p w14:paraId="74F021B9" w14:textId="77777777" w:rsidR="00305474" w:rsidRDefault="00BD5F55">
      <w:pPr>
        <w:pStyle w:val="Fisasubtitlu"/>
        <w:numPr>
          <w:ilvl w:val="0"/>
          <w:numId w:val="2"/>
        </w:numPr>
      </w:pPr>
      <w:r>
        <w:t>Timpul total estimat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9"/>
        <w:gridCol w:w="954"/>
        <w:gridCol w:w="1475"/>
        <w:gridCol w:w="568"/>
        <w:gridCol w:w="2156"/>
        <w:gridCol w:w="686"/>
      </w:tblGrid>
      <w:tr w:rsidR="00305474" w14:paraId="5AEEEA82" w14:textId="77777777">
        <w:trPr>
          <w:tblHeader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AB762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Num</w:t>
            </w:r>
            <w:r>
              <w:rPr>
                <w:rFonts w:cs="Times New Roman"/>
                <w:spacing w:val="-1"/>
                <w:sz w:val="24"/>
              </w:rPr>
              <w:t>ă</w:t>
            </w:r>
            <w:r>
              <w:rPr>
                <w:rFonts w:cs="Times New Roman"/>
                <w:sz w:val="24"/>
              </w:rPr>
              <w:t>r de o</w:t>
            </w:r>
            <w:r>
              <w:rPr>
                <w:rFonts w:cs="Times New Roman"/>
                <w:spacing w:val="1"/>
                <w:sz w:val="24"/>
              </w:rPr>
              <w:t>r</w:t>
            </w:r>
            <w:r>
              <w:rPr>
                <w:rFonts w:cs="Times New Roman"/>
                <w:sz w:val="24"/>
              </w:rPr>
              <w:t xml:space="preserve">e pe </w:t>
            </w:r>
            <w:r>
              <w:rPr>
                <w:rFonts w:cs="Times New Roman"/>
                <w:spacing w:val="2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ă</w:t>
            </w:r>
            <w:r>
              <w:rPr>
                <w:rFonts w:cs="Times New Roman"/>
                <w:sz w:val="24"/>
              </w:rPr>
              <w:t>ptăm</w:t>
            </w:r>
            <w:r>
              <w:rPr>
                <w:rFonts w:cs="Times New Roman"/>
                <w:spacing w:val="-1"/>
                <w:sz w:val="24"/>
              </w:rPr>
              <w:t>â</w:t>
            </w:r>
            <w:r>
              <w:rPr>
                <w:rFonts w:cs="Times New Roman"/>
                <w:sz w:val="24"/>
              </w:rPr>
              <w:t>nă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A23" w14:textId="77777777" w:rsidR="00305474" w:rsidRDefault="00BD5F55">
            <w:pPr>
              <w:pStyle w:val="TableContents"/>
              <w:widowControl w:val="0"/>
            </w:pPr>
            <w: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AAE5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curs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E649" w14:textId="77777777" w:rsidR="00305474" w:rsidRDefault="00BD5F55">
            <w:pPr>
              <w:pStyle w:val="TableContents"/>
              <w:widowControl w:val="0"/>
            </w:pPr>
            <w: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6938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e</w:t>
            </w:r>
            <w:r>
              <w:rPr>
                <w:rFonts w:cs="Times New Roman"/>
                <w:sz w:val="24"/>
              </w:rPr>
              <w:t>m</w:t>
            </w:r>
            <w:r>
              <w:rPr>
                <w:rFonts w:cs="Times New Roman"/>
                <w:spacing w:val="1"/>
                <w:sz w:val="24"/>
              </w:rPr>
              <w:t>i</w:t>
            </w:r>
            <w:r>
              <w:rPr>
                <w:rFonts w:cs="Times New Roman"/>
                <w:sz w:val="24"/>
              </w:rPr>
              <w:t>n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>r/lab</w:t>
            </w:r>
            <w:r>
              <w:rPr>
                <w:rFonts w:cs="Times New Roman"/>
                <w:spacing w:val="-1"/>
                <w:sz w:val="24"/>
              </w:rPr>
              <w:t>o</w:t>
            </w:r>
            <w:r>
              <w:rPr>
                <w:rFonts w:cs="Times New Roman"/>
                <w:sz w:val="24"/>
              </w:rPr>
              <w:t>r</w:t>
            </w:r>
            <w:r>
              <w:rPr>
                <w:rFonts w:cs="Times New Roman"/>
                <w:spacing w:val="-2"/>
                <w:sz w:val="24"/>
              </w:rPr>
              <w:t>a</w:t>
            </w:r>
            <w:r>
              <w:rPr>
                <w:rFonts w:cs="Times New Roman"/>
                <w:sz w:val="24"/>
              </w:rPr>
              <w:t>tor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55FE" w14:textId="77777777" w:rsidR="00305474" w:rsidRDefault="00BD5F55">
            <w:pPr>
              <w:pStyle w:val="TableContents"/>
              <w:widowControl w:val="0"/>
            </w:pPr>
            <w:r>
              <w:t>1</w:t>
            </w:r>
          </w:p>
        </w:tc>
      </w:tr>
      <w:tr w:rsidR="00305474" w14:paraId="048930C0" w14:textId="77777777">
        <w:tc>
          <w:tcPr>
            <w:tcW w:w="3801" w:type="dxa"/>
            <w:tcBorders>
              <w:left w:val="single" w:sz="4" w:space="0" w:color="000000"/>
              <w:bottom w:val="single" w:sz="4" w:space="0" w:color="000000"/>
            </w:tcBorders>
          </w:tcPr>
          <w:p w14:paraId="1AA7532C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Total o</w:t>
            </w:r>
            <w:r>
              <w:rPr>
                <w:rFonts w:cs="Times New Roman"/>
                <w:spacing w:val="-1"/>
                <w:sz w:val="24"/>
              </w:rPr>
              <w:t>r</w:t>
            </w:r>
            <w:r>
              <w:rPr>
                <w:rFonts w:cs="Times New Roman"/>
                <w:sz w:val="24"/>
              </w:rPr>
              <w:t>e din p</w:t>
            </w:r>
            <w:r>
              <w:rPr>
                <w:rFonts w:cs="Times New Roman"/>
                <w:spacing w:val="1"/>
                <w:sz w:val="24"/>
              </w:rPr>
              <w:t>l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 xml:space="preserve">nul </w:t>
            </w:r>
            <w:r>
              <w:rPr>
                <w:rFonts w:cs="Times New Roman"/>
                <w:spacing w:val="3"/>
                <w:sz w:val="24"/>
              </w:rPr>
              <w:t>d</w:t>
            </w:r>
            <w:r>
              <w:rPr>
                <w:rFonts w:cs="Times New Roman"/>
                <w:sz w:val="24"/>
              </w:rPr>
              <w:t>e învățământ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7F93" w14:textId="77777777" w:rsidR="00305474" w:rsidRDefault="00BD5F55">
            <w:pPr>
              <w:pStyle w:val="TableContents"/>
              <w:widowControl w:val="0"/>
            </w:pPr>
            <w:r>
              <w:t>28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F3E8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curs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EC63" w14:textId="77777777" w:rsidR="00305474" w:rsidRDefault="00BD5F55">
            <w:pPr>
              <w:pStyle w:val="TableContents"/>
              <w:widowControl w:val="0"/>
            </w:pPr>
            <w:r>
              <w:t>14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7B63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e</w:t>
            </w:r>
            <w:r>
              <w:rPr>
                <w:rFonts w:cs="Times New Roman"/>
                <w:sz w:val="24"/>
              </w:rPr>
              <w:t>m</w:t>
            </w:r>
            <w:r>
              <w:rPr>
                <w:rFonts w:cs="Times New Roman"/>
                <w:spacing w:val="1"/>
                <w:sz w:val="24"/>
              </w:rPr>
              <w:t>i</w:t>
            </w:r>
            <w:r>
              <w:rPr>
                <w:rFonts w:cs="Times New Roman"/>
                <w:sz w:val="24"/>
              </w:rPr>
              <w:t>n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>r/lab</w:t>
            </w:r>
            <w:r>
              <w:rPr>
                <w:rFonts w:cs="Times New Roman"/>
                <w:spacing w:val="-1"/>
                <w:sz w:val="24"/>
              </w:rPr>
              <w:t>o</w:t>
            </w:r>
            <w:r>
              <w:rPr>
                <w:rFonts w:cs="Times New Roman"/>
                <w:sz w:val="24"/>
              </w:rPr>
              <w:t>r</w:t>
            </w:r>
            <w:r>
              <w:rPr>
                <w:rFonts w:cs="Times New Roman"/>
                <w:spacing w:val="-2"/>
                <w:sz w:val="24"/>
              </w:rPr>
              <w:t>a</w:t>
            </w:r>
            <w:r>
              <w:rPr>
                <w:rFonts w:cs="Times New Roman"/>
                <w:sz w:val="24"/>
              </w:rPr>
              <w:t>tor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74AF" w14:textId="77777777" w:rsidR="00305474" w:rsidRDefault="00BD5F55">
            <w:pPr>
              <w:pStyle w:val="TableContents"/>
              <w:widowControl w:val="0"/>
            </w:pPr>
            <w:r>
              <w:t>14</w:t>
            </w:r>
          </w:p>
        </w:tc>
      </w:tr>
      <w:tr w:rsidR="00305474" w14:paraId="1EFC3EA0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E1FDAB1" w14:textId="77777777" w:rsidR="00305474" w:rsidRDefault="00BD5F55">
            <w:pPr>
              <w:pStyle w:val="TableContents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Distribuția fondului de timp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0D5" w14:textId="77777777" w:rsidR="00305474" w:rsidRDefault="00BD5F55">
            <w:pPr>
              <w:pStyle w:val="TableContents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</w:tr>
      <w:tr w:rsidR="00305474" w14:paraId="121AC3DB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DFB5265" w14:textId="77777777" w:rsidR="00305474" w:rsidRDefault="00BD5F55">
            <w:pPr>
              <w:pStyle w:val="TableContents"/>
              <w:widowControl w:val="0"/>
            </w:pPr>
            <w:r>
              <w:t>Studiul după manual, suport de curs, bibliografie și notițe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D777" w14:textId="77777777" w:rsidR="00305474" w:rsidRDefault="00A36D06">
            <w:pPr>
              <w:pStyle w:val="TableContents"/>
              <w:widowControl w:val="0"/>
            </w:pPr>
            <w:r>
              <w:t>2</w:t>
            </w:r>
          </w:p>
        </w:tc>
      </w:tr>
      <w:tr w:rsidR="00305474" w14:paraId="71A93D1F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7D850F2" w14:textId="77777777" w:rsidR="00305474" w:rsidRDefault="00BD5F55">
            <w:pPr>
              <w:pStyle w:val="TableContents"/>
              <w:widowControl w:val="0"/>
            </w:pPr>
            <w:r>
              <w:t>Documentare suplimentară în bibliotecă, pe platforme electronice de specialitate și pe teren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2A15" w14:textId="77777777" w:rsidR="00305474" w:rsidRDefault="00A36D06">
            <w:pPr>
              <w:pStyle w:val="TableContents"/>
              <w:widowControl w:val="0"/>
            </w:pPr>
            <w:r>
              <w:t>8</w:t>
            </w:r>
          </w:p>
        </w:tc>
      </w:tr>
      <w:tr w:rsidR="00305474" w14:paraId="203F1730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49AB1C5" w14:textId="77777777" w:rsidR="00305474" w:rsidRDefault="00BD5F55">
            <w:pPr>
              <w:pStyle w:val="TableContents"/>
              <w:widowControl w:val="0"/>
            </w:pPr>
            <w:r>
              <w:t>Pregătire seminarii/laboratoare, teme, referate, portofolii și eseuri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8E6F" w14:textId="77777777" w:rsidR="00305474" w:rsidRDefault="00A36D06">
            <w:pPr>
              <w:pStyle w:val="TableContents"/>
              <w:widowControl w:val="0"/>
            </w:pPr>
            <w:r>
              <w:t>8</w:t>
            </w:r>
          </w:p>
        </w:tc>
      </w:tr>
      <w:tr w:rsidR="00305474" w14:paraId="0B306402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F693E44" w14:textId="77777777" w:rsidR="00305474" w:rsidRDefault="00BD5F55">
            <w:pPr>
              <w:pStyle w:val="TableContents"/>
              <w:widowControl w:val="0"/>
            </w:pPr>
            <w:r>
              <w:t>Tutoriat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8886" w14:textId="77777777" w:rsidR="00305474" w:rsidRDefault="00BD5F55">
            <w:pPr>
              <w:pStyle w:val="TableContents"/>
              <w:widowControl w:val="0"/>
            </w:pPr>
            <w:r>
              <w:t>0</w:t>
            </w:r>
          </w:p>
        </w:tc>
      </w:tr>
      <w:tr w:rsidR="00305474" w14:paraId="1D44A297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A7966C9" w14:textId="77777777" w:rsidR="00305474" w:rsidRDefault="00BD5F55">
            <w:pPr>
              <w:pStyle w:val="TableContents"/>
              <w:widowControl w:val="0"/>
            </w:pPr>
            <w:r>
              <w:t>Examinări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007C" w14:textId="77777777" w:rsidR="00305474" w:rsidRDefault="00A36D06">
            <w:pPr>
              <w:pStyle w:val="TableContents"/>
              <w:widowControl w:val="0"/>
            </w:pPr>
            <w:r>
              <w:t>2</w:t>
            </w:r>
          </w:p>
        </w:tc>
      </w:tr>
      <w:tr w:rsidR="00305474" w14:paraId="3A3453D5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D1E32F9" w14:textId="77777777" w:rsidR="00305474" w:rsidRDefault="00BD5F55">
            <w:pPr>
              <w:pStyle w:val="TableContents"/>
              <w:widowControl w:val="0"/>
            </w:pPr>
            <w:r>
              <w:t>Alte activități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7C88" w14:textId="77777777" w:rsidR="00305474" w:rsidRDefault="00A36D06">
            <w:pPr>
              <w:pStyle w:val="TableContents"/>
              <w:widowControl w:val="0"/>
            </w:pPr>
            <w:r>
              <w:t>2</w:t>
            </w:r>
          </w:p>
        </w:tc>
      </w:tr>
      <w:tr w:rsidR="00305474" w14:paraId="27DD79E6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480F7D6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Total ore studiu individual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7DF8" w14:textId="77777777" w:rsidR="00305474" w:rsidRDefault="00A36D06">
            <w:pPr>
              <w:pStyle w:val="TableContents"/>
              <w:widowControl w:val="0"/>
            </w:pPr>
            <w:r>
              <w:t>22</w:t>
            </w:r>
          </w:p>
        </w:tc>
      </w:tr>
      <w:tr w:rsidR="00305474" w14:paraId="522A477F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69A281F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Total ore pe semestru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69D" w14:textId="77777777" w:rsidR="00305474" w:rsidRDefault="00A36D06">
            <w:pPr>
              <w:pStyle w:val="TableContents"/>
              <w:widowControl w:val="0"/>
            </w:pPr>
            <w:r>
              <w:t>5</w:t>
            </w:r>
            <w:r w:rsidR="00BD5F55">
              <w:t>0</w:t>
            </w:r>
          </w:p>
        </w:tc>
      </w:tr>
      <w:tr w:rsidR="00305474" w14:paraId="38BE56B6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B05B166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Numărul de credite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5CDC" w14:textId="77777777" w:rsidR="00305474" w:rsidRDefault="00BD5F55">
            <w:pPr>
              <w:pStyle w:val="TableContents"/>
              <w:widowControl w:val="0"/>
              <w:rPr>
                <w:lang w:val="hu-HU"/>
              </w:rPr>
            </w:pPr>
            <w:r>
              <w:rPr>
                <w:lang w:val="hu-HU"/>
              </w:rPr>
              <w:t>2</w:t>
            </w:r>
          </w:p>
        </w:tc>
      </w:tr>
    </w:tbl>
    <w:p w14:paraId="79116871" w14:textId="77777777" w:rsidR="00305474" w:rsidRDefault="00BD5F55">
      <w:pPr>
        <w:pStyle w:val="Fisasubtitlu"/>
        <w:numPr>
          <w:ilvl w:val="0"/>
          <w:numId w:val="2"/>
        </w:numPr>
      </w:pPr>
      <w:r>
        <w:t>Precondiții (unde este cazul)</w:t>
      </w:r>
    </w:p>
    <w:tbl>
      <w:tblPr>
        <w:tblW w:w="9641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9"/>
        <w:gridCol w:w="7492"/>
      </w:tblGrid>
      <w:tr w:rsidR="00305474" w14:paraId="7F9C1583" w14:textId="77777777">
        <w:trPr>
          <w:tblHeader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0BF92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curriculum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1C14" w14:textId="77777777" w:rsidR="00305474" w:rsidRDefault="00305474">
            <w:pPr>
              <w:pStyle w:val="TableContents"/>
              <w:widowControl w:val="0"/>
              <w:rPr>
                <w:szCs w:val="22"/>
              </w:rPr>
            </w:pPr>
          </w:p>
        </w:tc>
      </w:tr>
      <w:tr w:rsidR="00305474" w14:paraId="03C2E968" w14:textId="77777777">
        <w:tc>
          <w:tcPr>
            <w:tcW w:w="2149" w:type="dxa"/>
            <w:tcBorders>
              <w:left w:val="single" w:sz="4" w:space="0" w:color="000000"/>
              <w:bottom w:val="single" w:sz="4" w:space="0" w:color="000000"/>
            </w:tcBorders>
          </w:tcPr>
          <w:p w14:paraId="21F23229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competențe</w:t>
            </w:r>
          </w:p>
        </w:tc>
        <w:tc>
          <w:tcPr>
            <w:tcW w:w="7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1434" w14:textId="77777777" w:rsidR="00305474" w:rsidRDefault="00305474">
            <w:pPr>
              <w:pStyle w:val="TableContents"/>
              <w:widowControl w:val="0"/>
              <w:ind w:left="170"/>
              <w:rPr>
                <w:szCs w:val="22"/>
              </w:rPr>
            </w:pPr>
          </w:p>
        </w:tc>
      </w:tr>
    </w:tbl>
    <w:p w14:paraId="6780FE70" w14:textId="77777777" w:rsidR="00305474" w:rsidRDefault="00BD5F55">
      <w:pPr>
        <w:pStyle w:val="Fisasubtitlu"/>
        <w:numPr>
          <w:ilvl w:val="0"/>
          <w:numId w:val="2"/>
        </w:numPr>
      </w:pPr>
      <w:r>
        <w:t>Condiții (acolo unde este cazul)</w:t>
      </w:r>
    </w:p>
    <w:tbl>
      <w:tblPr>
        <w:tblW w:w="9641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2"/>
        <w:gridCol w:w="5049"/>
      </w:tblGrid>
      <w:tr w:rsidR="00305474" w14:paraId="569F1EB0" w14:textId="77777777">
        <w:trPr>
          <w:tblHeader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E0FB6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desfășurare a cursului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B113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Laptop, proiector, tablă</w:t>
            </w:r>
          </w:p>
        </w:tc>
      </w:tr>
      <w:tr w:rsidR="00305474" w14:paraId="42CC0E0E" w14:textId="77777777"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</w:tcPr>
          <w:p w14:paraId="31691849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desfășurare a seminarului/laboratorului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73E6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Laptop, proiector</w:t>
            </w:r>
          </w:p>
        </w:tc>
      </w:tr>
    </w:tbl>
    <w:p w14:paraId="2943FE36" w14:textId="77777777" w:rsidR="00305474" w:rsidRDefault="00BD5F55">
      <w:pPr>
        <w:pStyle w:val="Fisasubtitlu"/>
        <w:numPr>
          <w:ilvl w:val="0"/>
          <w:numId w:val="2"/>
        </w:numPr>
      </w:pPr>
      <w:r>
        <w:t>Competențe specifice acumulate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7935"/>
      </w:tblGrid>
      <w:tr w:rsidR="00305474" w14:paraId="6B30C33B" w14:textId="77777777">
        <w:trPr>
          <w:tblHeader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C3044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Competențe profesionale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6198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- înțelegerea noțiunilor de bază și folosirea adecvată a celor învățate</w:t>
            </w:r>
          </w:p>
        </w:tc>
      </w:tr>
      <w:tr w:rsidR="00305474" w14:paraId="3942214E" w14:textId="77777777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48BEA56B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Competențe transversale</w:t>
            </w:r>
          </w:p>
        </w:tc>
        <w:tc>
          <w:tcPr>
            <w:tcW w:w="7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E4CB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- utilizarea celor învățate în scrierea planurilor de lecție</w:t>
            </w:r>
          </w:p>
        </w:tc>
      </w:tr>
    </w:tbl>
    <w:p w14:paraId="390473D8" w14:textId="77777777" w:rsidR="00305474" w:rsidRDefault="00BD5F55">
      <w:pPr>
        <w:pStyle w:val="Fisasubtitlu"/>
        <w:numPr>
          <w:ilvl w:val="0"/>
          <w:numId w:val="2"/>
        </w:numPr>
      </w:pPr>
      <w:r>
        <w:lastRenderedPageBreak/>
        <w:t>Obiectivele disciplinei (reieșind din grila competențelor specifice acumulate)</w:t>
      </w:r>
    </w:p>
    <w:tbl>
      <w:tblPr>
        <w:tblW w:w="9641" w:type="dxa"/>
        <w:tblInd w:w="5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703"/>
        <w:gridCol w:w="7938"/>
      </w:tblGrid>
      <w:tr w:rsidR="00305474" w14:paraId="300D333E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CFC62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Obiectivul general al disciplinei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306B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- familiarizarea cu noțiunile de bază și înțelegerea rolului disciplinei Dezvoltare personală</w:t>
            </w:r>
          </w:p>
        </w:tc>
      </w:tr>
      <w:tr w:rsidR="00305474" w14:paraId="195AB84F" w14:textId="77777777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0573981C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Obiectivele specifice</w:t>
            </w: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21B2" w14:textId="77777777" w:rsidR="00305474" w:rsidRDefault="00BD5F55">
            <w:pPr>
              <w:pStyle w:val="TableContents"/>
              <w:widowControl w:val="0"/>
            </w:pPr>
            <w:r>
              <w:t>- utilizarea adecvată a noțiunilor de bază;</w:t>
            </w:r>
          </w:p>
          <w:p w14:paraId="79DC73FD" w14:textId="77777777" w:rsidR="00305474" w:rsidRDefault="00BD5F55">
            <w:pPr>
              <w:pStyle w:val="TableContents"/>
              <w:widowControl w:val="0"/>
            </w:pPr>
            <w:r>
              <w:t>- dezvoltarea competențelor specifice pentru aplicarea celor învățate în practica pedagogică</w:t>
            </w:r>
          </w:p>
        </w:tc>
      </w:tr>
    </w:tbl>
    <w:p w14:paraId="485D6ADE" w14:textId="77777777" w:rsidR="00305474" w:rsidRDefault="00BD5F55">
      <w:pPr>
        <w:pStyle w:val="Fisasubtitlu"/>
        <w:numPr>
          <w:ilvl w:val="0"/>
          <w:numId w:val="2"/>
        </w:numPr>
      </w:pPr>
      <w:r>
        <w:t>Conținuturi</w:t>
      </w:r>
    </w:p>
    <w:tbl>
      <w:tblPr>
        <w:tblW w:w="9604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2922"/>
        <w:gridCol w:w="1311"/>
      </w:tblGrid>
      <w:tr w:rsidR="00305474" w14:paraId="5C13273D" w14:textId="77777777" w:rsidTr="0009243C">
        <w:trPr>
          <w:trHeight w:val="243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99B05" w14:textId="77777777" w:rsidR="00305474" w:rsidRDefault="00BD5F55">
            <w:pPr>
              <w:pStyle w:val="TableHeading"/>
              <w:widowControl w:val="0"/>
              <w:numPr>
                <w:ilvl w:val="1"/>
                <w:numId w:val="2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Curs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CD686" w14:textId="77777777" w:rsidR="00305474" w:rsidRDefault="00BD5F55">
            <w:pPr>
              <w:pStyle w:val="TableHeading"/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Metode de predare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A600" w14:textId="77777777" w:rsidR="00305474" w:rsidRDefault="00BD5F55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Observații</w:t>
            </w:r>
          </w:p>
        </w:tc>
      </w:tr>
      <w:tr w:rsidR="00305474" w14:paraId="5A589B46" w14:textId="77777777" w:rsidTr="0009243C">
        <w:trPr>
          <w:trHeight w:val="487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65D535CF" w14:textId="77777777" w:rsidR="00305474" w:rsidRDefault="00BD5F55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Definire, rolul și posibiltățile disciplinei Dezvoltare personală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3F7E408F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prelegere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792D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1F8C0C42" w14:textId="77777777" w:rsidTr="0009243C">
        <w:trPr>
          <w:trHeight w:val="243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1449A3CD" w14:textId="77777777" w:rsidR="00305474" w:rsidRDefault="00BD5F55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Competențele generale și specifice 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681D9B01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prelegere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63A8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40C4D19B" w14:textId="77777777" w:rsidTr="0009243C">
        <w:trPr>
          <w:trHeight w:val="487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5ABF0CDA" w14:textId="77777777" w:rsidR="00305474" w:rsidRDefault="00BD5F55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Manifestarea interesului pentru autocunoaştere şi a atitudinii pozitive faţă de sine şi faţă de ceilalţi 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6E5CEEF8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prelegere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8FE2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6FC93F0E" w14:textId="77777777" w:rsidTr="0009243C">
        <w:trPr>
          <w:trHeight w:val="487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59A9EE90" w14:textId="77777777" w:rsidR="00305474" w:rsidRDefault="00BD5F55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Exprimarea adecvată a emoţiilor în interacţiunea cu copii şi adulţi cunoscuţi 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6732008C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prelegere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ECD4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0B53E47D" w14:textId="77777777" w:rsidTr="0009243C">
        <w:trPr>
          <w:trHeight w:val="487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1684E537" w14:textId="77777777" w:rsidR="00305474" w:rsidRDefault="00BD5F55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 xml:space="preserve">Utilizarea abilităţilor şi a atitudinilor specifice învăţării în context şcolar 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035A1C77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prelegere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BE86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67EC6950" w14:textId="77777777" w:rsidTr="0009243C">
        <w:trPr>
          <w:trHeight w:val="243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2C713FAA" w14:textId="77777777" w:rsidR="00305474" w:rsidRDefault="00BD5F55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Conținuturi posibile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0FA435B3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prelegere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DECF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23BF8B35" w14:textId="77777777" w:rsidTr="0009243C">
        <w:trPr>
          <w:trHeight w:val="243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73911227" w14:textId="77777777" w:rsidR="00305474" w:rsidRDefault="00BD5F55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Locul și scopul disciplinei pe paleta educațională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1F72582F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prelegere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9DA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01DF7FA5" w14:textId="77777777" w:rsidTr="0009243C">
        <w:trPr>
          <w:trHeight w:val="243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C2DC6" w14:textId="77777777" w:rsidR="00305474" w:rsidRDefault="00BD5F55">
            <w:pPr>
              <w:pStyle w:val="TableHeading"/>
              <w:widowControl w:val="0"/>
              <w:numPr>
                <w:ilvl w:val="1"/>
                <w:numId w:val="2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Seminar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4C8C7" w14:textId="77777777" w:rsidR="00305474" w:rsidRDefault="00BD5F55">
            <w:pPr>
              <w:pStyle w:val="TableHeading"/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Metode de predare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5333" w14:textId="77777777" w:rsidR="00305474" w:rsidRDefault="00BD5F55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Observații</w:t>
            </w:r>
          </w:p>
        </w:tc>
      </w:tr>
      <w:tr w:rsidR="00305474" w14:paraId="48525441" w14:textId="77777777" w:rsidTr="0009243C">
        <w:trPr>
          <w:trHeight w:val="499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763089EF" w14:textId="77777777" w:rsidR="00305474" w:rsidRDefault="00BD5F55">
            <w:pPr>
              <w:pStyle w:val="TableContents"/>
              <w:widowControl w:val="0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Posibilitățile dezvoltării personale în clasa pregătitoare, clasa I. și clasa a II-a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3F2885BB" w14:textId="77777777" w:rsidR="00305474" w:rsidRDefault="00BD5F55">
            <w:pPr>
              <w:pStyle w:val="TableHeading"/>
              <w:widowControl w:val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dezbatere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3F76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036CBDFA" w14:textId="77777777" w:rsidTr="0009243C">
        <w:trPr>
          <w:trHeight w:val="487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197718E8" w14:textId="77777777" w:rsidR="00305474" w:rsidRDefault="00BD5F55">
            <w:pPr>
              <w:pStyle w:val="TableContents"/>
              <w:widowControl w:val="0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Sistemul competențelor specifice la disciplina Dezvoltare personală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09034737" w14:textId="77777777" w:rsidR="00305474" w:rsidRDefault="00BD5F55">
            <w:pPr>
              <w:pStyle w:val="TableHeading"/>
              <w:widowControl w:val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prezentare, lucru în echipă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AEAB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0819428A" w14:textId="77777777" w:rsidTr="0009243C">
        <w:trPr>
          <w:trHeight w:val="487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7DC0C9DA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3. Manifestarea interesului pentru autocunoaştere şi a atitudinii pozitive faţă de sine şi faţă de ceilalţi 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680CAC93" w14:textId="77777777" w:rsidR="00305474" w:rsidRDefault="00BD5F55">
            <w:pPr>
              <w:pStyle w:val="TableHeading"/>
              <w:widowControl w:val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prezentare, lucru în echipă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7152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0C3EDA55" w14:textId="77777777" w:rsidTr="0009243C">
        <w:trPr>
          <w:trHeight w:val="487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4C1A6340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4. Exprimarea adecvată a emoţiilor în interacţiunea cu copii şi adulţi cunoscuţi 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2B5E7427" w14:textId="77777777" w:rsidR="00305474" w:rsidRDefault="00BD5F55">
            <w:pPr>
              <w:pStyle w:val="TableHeading"/>
              <w:widowControl w:val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prezentare, lucru în echipă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D734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6C9DBB5B" w14:textId="77777777" w:rsidTr="0009243C">
        <w:trPr>
          <w:trHeight w:val="487"/>
        </w:trPr>
        <w:tc>
          <w:tcPr>
            <w:tcW w:w="5371" w:type="dxa"/>
            <w:tcBorders>
              <w:left w:val="single" w:sz="4" w:space="0" w:color="000000"/>
              <w:bottom w:val="single" w:sz="4" w:space="0" w:color="000000"/>
            </w:tcBorders>
          </w:tcPr>
          <w:p w14:paraId="624AACB1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5. Utilizarea abilităţilor şi a atitudinilor specifice învăţării în context şcolar 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65CFFCE2" w14:textId="77777777" w:rsidR="00305474" w:rsidRDefault="00BD5F55">
            <w:pPr>
              <w:pStyle w:val="TableHeading"/>
              <w:widowControl w:val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prezentare, lucru în echipă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4A3B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1DFEB56E" w14:textId="77777777" w:rsidTr="0009243C">
        <w:trPr>
          <w:trHeight w:val="243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9910F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6. Exemple pentru conținuturi posibile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E828" w14:textId="77777777" w:rsidR="00305474" w:rsidRDefault="00BD5F55">
            <w:pPr>
              <w:pStyle w:val="TableHeading"/>
              <w:widowControl w:val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prezentare, lucru în echipă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1C2C" w14:textId="77777777" w:rsidR="00305474" w:rsidRDefault="00BD5F5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2 ore</w:t>
            </w:r>
          </w:p>
        </w:tc>
      </w:tr>
      <w:tr w:rsidR="00305474" w14:paraId="2914AEAD" w14:textId="77777777" w:rsidTr="0009243C">
        <w:trPr>
          <w:trHeight w:val="243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82F0BC" w14:textId="77777777" w:rsidR="00305474" w:rsidRDefault="00BD5F55">
            <w:pPr>
              <w:pStyle w:val="TableHeading"/>
              <w:widowControl w:val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7. Rolul dezvoltării personalității în clasele mici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5A49D7" w14:textId="77777777" w:rsidR="00305474" w:rsidRDefault="00BD5F55">
            <w:pPr>
              <w:pStyle w:val="TableHeading"/>
              <w:widowControl w:val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conversație, dezbatere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FAC60" w14:textId="77777777" w:rsidR="00305474" w:rsidRDefault="00305474">
            <w:pPr>
              <w:pStyle w:val="TableHeading"/>
              <w:widowControl w:val="0"/>
              <w:rPr>
                <w:b w:val="0"/>
                <w:szCs w:val="22"/>
              </w:rPr>
            </w:pPr>
          </w:p>
        </w:tc>
      </w:tr>
      <w:tr w:rsidR="0009243C" w14:paraId="0C18E03F" w14:textId="77777777" w:rsidTr="0009243C">
        <w:trPr>
          <w:trHeight w:val="4932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DE77C" w14:textId="77777777" w:rsidR="0009243C" w:rsidRDefault="0009243C">
            <w:pPr>
              <w:pStyle w:val="TableHeading"/>
              <w:widowControl w:val="0"/>
              <w:rPr>
                <w:b w:val="0"/>
                <w:szCs w:val="22"/>
              </w:rPr>
            </w:pPr>
          </w:p>
          <w:p w14:paraId="0E264236" w14:textId="77777777" w:rsidR="0009243C" w:rsidRDefault="0009243C" w:rsidP="0009243C">
            <w:pPr>
              <w:pStyle w:val="Fisasubtitlubibliografie"/>
              <w:widowControl w:val="0"/>
            </w:pPr>
            <w:r>
              <w:t>Bibliografie obligatorie</w:t>
            </w:r>
          </w:p>
          <w:p w14:paraId="6CC6D400" w14:textId="77777777" w:rsidR="0009243C" w:rsidRDefault="0009243C" w:rsidP="0009243C">
            <w:pPr>
              <w:widowControl w:val="0"/>
              <w:overflowPunct w:val="0"/>
              <w:ind w:left="283" w:hanging="283"/>
            </w:pPr>
            <w:r>
              <w:t xml:space="preserve">Ministerul Educației Naționale (2013). </w:t>
            </w:r>
            <w:r>
              <w:rPr>
                <w:i/>
                <w:iCs/>
              </w:rPr>
              <w:t>Programa şcolară pentru disciplina DEZVOLTARE PERSONALĂ</w:t>
            </w:r>
          </w:p>
          <w:p w14:paraId="22C001A8" w14:textId="77777777" w:rsidR="0009243C" w:rsidRDefault="0009243C" w:rsidP="0009243C">
            <w:pPr>
              <w:widowControl w:val="0"/>
              <w:overflowPunct w:val="0"/>
              <w:ind w:left="283" w:hanging="283"/>
            </w:pPr>
            <w:r>
              <w:rPr>
                <w:i/>
                <w:iCs/>
              </w:rPr>
              <w:t xml:space="preserve">Clasa pregătitoare, clasa I şi clasa a II-a. </w:t>
            </w:r>
            <w:r>
              <w:t>Anexa nr. 2 la ordinul ministrului educației naționale nr. 3418/19.03.2013.  București</w:t>
            </w:r>
          </w:p>
          <w:p w14:paraId="3B0C5509" w14:textId="77777777" w:rsidR="0009243C" w:rsidRDefault="0009243C" w:rsidP="0009243C">
            <w:pPr>
              <w:widowControl w:val="0"/>
              <w:overflowPunct w:val="0"/>
              <w:ind w:left="283" w:hanging="283"/>
            </w:pPr>
            <w:r>
              <w:t>Ministerul Educației Naționale (201</w:t>
            </w:r>
            <w:r>
              <w:rPr>
                <w:lang w:val="hu-HU"/>
              </w:rPr>
              <w:t>3</w:t>
            </w:r>
            <w:r>
              <w:t>).</w:t>
            </w:r>
            <w:bookmarkStart w:id="0" w:name="docs-internal-guid-385a325c-7fff-d03d-a5"/>
            <w:bookmarkEnd w:id="0"/>
            <w:r>
              <w:t xml:space="preserve"> </w:t>
            </w:r>
            <w:r>
              <w:rPr>
                <w:i/>
                <w:iCs/>
                <w:lang w:val="hu-HU"/>
              </w:rPr>
              <w:t>Tanterv</w:t>
            </w:r>
            <w:r>
              <w:rPr>
                <w:i/>
                <w:iCs/>
              </w:rPr>
              <w:t xml:space="preserve"> a SZEMÉLYISÉGFEJLESZTÉS kompetenciaalapú oktatásához az előkészítő osztálytól a II.osztályig.</w:t>
            </w:r>
            <w:r>
              <w:t xml:space="preserve"> Traducerea Curriculumului pentru  în limba maghiară. </w:t>
            </w:r>
            <w:r>
              <w:rPr>
                <w:lang w:val="hu-HU"/>
              </w:rPr>
              <w:t>Bucure</w:t>
            </w:r>
            <w:r>
              <w:t>ști</w:t>
            </w:r>
          </w:p>
          <w:p w14:paraId="63270D4A" w14:textId="77777777" w:rsidR="0009243C" w:rsidRDefault="0009243C" w:rsidP="0009243C">
            <w:pPr>
              <w:widowControl w:val="0"/>
              <w:overflowPunct w:val="0"/>
              <w:ind w:left="283" w:hanging="283"/>
            </w:pPr>
          </w:p>
          <w:p w14:paraId="6C35B39C" w14:textId="77777777" w:rsidR="0009243C" w:rsidRDefault="0009243C" w:rsidP="0009243C">
            <w:pPr>
              <w:pStyle w:val="Fisasubtitlubibliografie"/>
              <w:widowControl w:val="0"/>
            </w:pPr>
            <w:r>
              <w:t>Bibliografie facultativă</w:t>
            </w:r>
          </w:p>
          <w:p w14:paraId="63385ECE" w14:textId="77777777" w:rsidR="0009243C" w:rsidRDefault="0009243C" w:rsidP="0009243C">
            <w:pPr>
              <w:widowControl w:val="0"/>
              <w:overflowPunct w:val="0"/>
              <w:ind w:left="283" w:hanging="283"/>
            </w:pPr>
            <w:r>
              <w:rPr>
                <w:lang w:val="hu-HU"/>
              </w:rPr>
              <w:t xml:space="preserve">Bagdy E., Telkes J. (1999). </w:t>
            </w:r>
            <w:r>
              <w:rPr>
                <w:i/>
                <w:iCs/>
                <w:lang w:val="hu-HU"/>
              </w:rPr>
              <w:t>Személyiségfejlesztő módszerek az iskolában</w:t>
            </w:r>
            <w:r>
              <w:rPr>
                <w:lang w:val="hu-HU"/>
              </w:rPr>
              <w:t>. Budapest: Nemzeti Tankönyvkiadó</w:t>
            </w:r>
          </w:p>
          <w:p w14:paraId="0499FDD9" w14:textId="77777777" w:rsidR="0009243C" w:rsidRDefault="0009243C" w:rsidP="0009243C">
            <w:pPr>
              <w:widowControl w:val="0"/>
              <w:overflowPunct w:val="0"/>
              <w:ind w:left="283" w:hanging="283"/>
            </w:pPr>
            <w:r>
              <w:rPr>
                <w:lang w:val="hu-HU"/>
              </w:rPr>
              <w:t xml:space="preserve">Cole, M., Cole, S. R. (1997). </w:t>
            </w:r>
            <w:r>
              <w:rPr>
                <w:i/>
                <w:iCs/>
                <w:lang w:val="hu-HU"/>
              </w:rPr>
              <w:t>Fejlődéslélektan</w:t>
            </w:r>
            <w:r>
              <w:rPr>
                <w:lang w:val="hu-HU"/>
              </w:rPr>
              <w:t>. Budapest: Osiris</w:t>
            </w:r>
          </w:p>
          <w:p w14:paraId="22AC2EB9" w14:textId="77777777" w:rsidR="0009243C" w:rsidRDefault="0009243C" w:rsidP="0009243C">
            <w:pPr>
              <w:widowControl w:val="0"/>
              <w:overflowPunct w:val="0"/>
              <w:ind w:left="283" w:hanging="283"/>
            </w:pPr>
            <w:r>
              <w:t>Podr</w:t>
            </w:r>
            <w:r>
              <w:rPr>
                <w:lang w:val="hu-HU"/>
              </w:rPr>
              <w:t>áczky J. (</w:t>
            </w:r>
            <w:r>
              <w:t>Ed</w:t>
            </w:r>
            <w:r>
              <w:rPr>
                <w:lang w:val="hu-HU"/>
              </w:rPr>
              <w:t xml:space="preserve">.) (2015). </w:t>
            </w:r>
            <w:r>
              <w:rPr>
                <w:i/>
                <w:iCs/>
                <w:lang w:val="hu-HU"/>
              </w:rPr>
              <w:t>Szemelvények a kisgyermeknevelés köréből 1.</w:t>
            </w:r>
            <w:r>
              <w:rPr>
                <w:lang w:val="hu-HU"/>
              </w:rPr>
              <w:t xml:space="preserve"> ISBN 978-615-5599-05-7</w:t>
            </w:r>
          </w:p>
          <w:p w14:paraId="42892E39" w14:textId="77777777" w:rsidR="0009243C" w:rsidRDefault="0009243C" w:rsidP="0009243C">
            <w:pPr>
              <w:widowControl w:val="0"/>
              <w:overflowPunct w:val="0"/>
              <w:ind w:left="283" w:hanging="283"/>
              <w:rPr>
                <w:lang w:val="hu-HU"/>
              </w:rPr>
            </w:pPr>
            <w:r>
              <w:rPr>
                <w:lang w:val="hu-HU"/>
              </w:rPr>
              <w:t xml:space="preserve">Szarka E. </w:t>
            </w:r>
            <w:r>
              <w:rPr>
                <w:i/>
                <w:iCs/>
                <w:lang w:val="hu-HU"/>
              </w:rPr>
              <w:t>Boldogságórák – kérdések, dilemmák és válaszok.</w:t>
            </w:r>
            <w:r>
              <w:rPr>
                <w:lang w:val="hu-HU"/>
              </w:rPr>
              <w:t xml:space="preserve"> https://www.pozitivpedagogia.hu/wp-content/uploads/2020/11/konferenciakotet_szarka_emese-1.pdf</w:t>
            </w:r>
          </w:p>
          <w:p w14:paraId="23BF1155" w14:textId="77777777" w:rsidR="0009243C" w:rsidRDefault="0009243C" w:rsidP="0009243C">
            <w:pPr>
              <w:widowControl w:val="0"/>
              <w:overflowPunct w:val="0"/>
              <w:ind w:left="283" w:hanging="283"/>
            </w:pPr>
            <w:r>
              <w:t>Varga L. (</w:t>
            </w:r>
            <w:r>
              <w:rPr>
                <w:lang w:val="hu-HU"/>
              </w:rPr>
              <w:t>2019</w:t>
            </w:r>
            <w:r>
              <w:t xml:space="preserve">). </w:t>
            </w:r>
            <w:r>
              <w:rPr>
                <w:i/>
                <w:iCs/>
                <w:lang w:val="hu-HU"/>
              </w:rPr>
              <w:t>Gyermekkor – a világra nyíló ablak</w:t>
            </w:r>
            <w:r>
              <w:rPr>
                <w:lang w:val="hu-HU"/>
              </w:rPr>
              <w:t>. Soproni Egyetem Benedek Elek Pedagógiai Kar</w:t>
            </w:r>
          </w:p>
          <w:p w14:paraId="7408AE6F" w14:textId="77777777" w:rsidR="0009243C" w:rsidRPr="0009243C" w:rsidRDefault="0009243C" w:rsidP="0009243C">
            <w:pPr>
              <w:widowControl w:val="0"/>
              <w:overflowPunct w:val="0"/>
              <w:ind w:left="283" w:hanging="283"/>
            </w:pPr>
            <w:r>
              <w:rPr>
                <w:lang w:val="hu-HU"/>
              </w:rPr>
              <w:t xml:space="preserve">Vargha A., Török R., Diósi K., Oláh A. (2019). </w:t>
            </w:r>
            <w:r>
              <w:rPr>
                <w:i/>
                <w:iCs/>
                <w:lang w:val="hu-HU"/>
              </w:rPr>
              <w:t>Boldogságmérés az iskolában.</w:t>
            </w:r>
            <w:r>
              <w:rPr>
                <w:lang w:val="hu-HU"/>
              </w:rPr>
              <w:t xml:space="preserve"> Magyar Pszichológiai Szemle, 2019, 74.3/4. 327–346</w:t>
            </w:r>
          </w:p>
        </w:tc>
      </w:tr>
    </w:tbl>
    <w:p w14:paraId="315F978C" w14:textId="77777777" w:rsidR="00305474" w:rsidRDefault="00BD5F55">
      <w:pPr>
        <w:pStyle w:val="Fisasubtitlu"/>
        <w:numPr>
          <w:ilvl w:val="0"/>
          <w:numId w:val="2"/>
        </w:numPr>
      </w:pPr>
      <w:r>
        <w:lastRenderedPageBreak/>
        <w:t>Coroborarea conținuturilor disciplinei cu așteptările reprezentanților comunității epistemice, asociațiilor profesionale și angajatorilor reprezentativi din domeniul aferent programului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305474" w14:paraId="70882815" w14:textId="77777777">
        <w:trPr>
          <w:trHeight w:val="71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945A" w14:textId="77777777" w:rsidR="00A36D06" w:rsidRDefault="00A36D06">
            <w:pPr>
              <w:widowControl w:val="0"/>
              <w:suppressAutoHyphens w:val="0"/>
              <w:spacing w:before="69"/>
              <w:ind w:right="326"/>
              <w:rPr>
                <w:rFonts w:cs="Times New Roman"/>
              </w:rPr>
            </w:pPr>
            <w:r w:rsidRPr="005657D2">
              <w:rPr>
                <w:rFonts w:cs="Times New Roman"/>
              </w:rPr>
              <w:t>Conţinutul disciplinei este în concordanţă cu ceea ce se practică în alte centre universitare din țară şi din străinătate.  Pentru o mai bună adaptare la cerinţele pieţei muncii a conţinutului disciplinei s-au organizat discuții și întâlniri atât cu profesori în învățământul primar și preșcolar cât și cu reprezentanţii angajatorilor din mediul socio-cultural, respectiv inspectori școlar, directori instituții de învățământ.</w:t>
            </w:r>
          </w:p>
          <w:p w14:paraId="775906E6" w14:textId="77777777" w:rsidR="00305474" w:rsidRDefault="00BD5F55">
            <w:pPr>
              <w:widowControl w:val="0"/>
              <w:suppressAutoHyphens w:val="0"/>
              <w:spacing w:before="69"/>
              <w:ind w:right="326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ar-SA"/>
              </w:rPr>
              <w:t>Registrul Naţional al Calificărilor din învăţământul Superior (http://www.rncis.ro)</w:t>
            </w:r>
          </w:p>
          <w:p w14:paraId="2D6AAD54" w14:textId="77777777" w:rsidR="00305474" w:rsidRDefault="00BD5F55">
            <w:pPr>
              <w:widowControl w:val="0"/>
              <w:suppressLineNumbers/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ar-SA"/>
              </w:rPr>
              <w:t>Clasificarea Ocupaţiilor din România (http://www.mmuncii.ro/)</w:t>
            </w:r>
          </w:p>
        </w:tc>
      </w:tr>
    </w:tbl>
    <w:p w14:paraId="3276B327" w14:textId="77777777" w:rsidR="00305474" w:rsidRDefault="00BD5F55">
      <w:pPr>
        <w:pStyle w:val="Fisasubtitlu"/>
        <w:numPr>
          <w:ilvl w:val="0"/>
          <w:numId w:val="2"/>
        </w:numPr>
      </w:pPr>
      <w:r>
        <w:t>Evaluare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6"/>
        <w:gridCol w:w="963"/>
        <w:gridCol w:w="1869"/>
        <w:gridCol w:w="517"/>
        <w:gridCol w:w="963"/>
        <w:gridCol w:w="2090"/>
        <w:gridCol w:w="1650"/>
      </w:tblGrid>
      <w:tr w:rsidR="00305474" w14:paraId="1A478C4B" w14:textId="77777777">
        <w:trPr>
          <w:trHeight w:hRule="exact" w:val="56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3AD06" w14:textId="77777777" w:rsidR="00305474" w:rsidRDefault="00BD5F55">
            <w:pPr>
              <w:pStyle w:val="TableContents"/>
              <w:widowControl w:val="0"/>
            </w:pPr>
            <w:r>
              <w:t>Tip activitate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6818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Criterii de evaluare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1AF1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Metode de evaluare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4833" w14:textId="77777777" w:rsidR="00305474" w:rsidRDefault="00BD5F55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Pondere din nota finală</w:t>
            </w:r>
          </w:p>
        </w:tc>
      </w:tr>
      <w:tr w:rsidR="00305474" w14:paraId="56BF0E96" w14:textId="77777777">
        <w:trPr>
          <w:trHeight w:val="547"/>
        </w:trPr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 w14:paraId="45DDE2D3" w14:textId="77777777" w:rsidR="00305474" w:rsidRDefault="00BD5F55">
            <w:pPr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Curs</w:t>
            </w:r>
          </w:p>
        </w:tc>
        <w:tc>
          <w:tcPr>
            <w:tcW w:w="334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C53A0BA" w14:textId="77777777" w:rsidR="00305474" w:rsidRDefault="00BD5F5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Cunoașterea și folosirea adecvată a noțiunilor de bază</w:t>
            </w:r>
          </w:p>
        </w:tc>
        <w:tc>
          <w:tcPr>
            <w:tcW w:w="3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E4DF" w14:textId="77777777" w:rsidR="00305474" w:rsidRDefault="00BD5F5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 xml:space="preserve">Examen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F08" w14:textId="77777777" w:rsidR="00305474" w:rsidRDefault="00BD5F55">
            <w:pPr>
              <w:widowControl w:val="0"/>
              <w:rPr>
                <w:szCs w:val="22"/>
              </w:rPr>
            </w:pPr>
            <w:r>
              <w:t>50%</w:t>
            </w:r>
          </w:p>
        </w:tc>
      </w:tr>
      <w:tr w:rsidR="00305474" w14:paraId="56F4C341" w14:textId="77777777">
        <w:trPr>
          <w:trHeight w:val="547"/>
        </w:trPr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 w14:paraId="7A9F71AC" w14:textId="77777777" w:rsidR="00305474" w:rsidRDefault="00BD5F55">
            <w:pPr>
              <w:widowControl w:val="0"/>
              <w:numPr>
                <w:ilvl w:val="1"/>
                <w:numId w:val="2"/>
              </w:numPr>
            </w:pPr>
            <w:r>
              <w:t>Seminar</w:t>
            </w:r>
          </w:p>
        </w:tc>
        <w:tc>
          <w:tcPr>
            <w:tcW w:w="334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1D8C3E0" w14:textId="77777777" w:rsidR="00305474" w:rsidRDefault="00BD5F5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Calitatea prezentării</w:t>
            </w:r>
          </w:p>
        </w:tc>
        <w:tc>
          <w:tcPr>
            <w:tcW w:w="3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53E7" w14:textId="77777777" w:rsidR="00305474" w:rsidRDefault="00BD5F55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Sumativă și formativă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6B22" w14:textId="77777777" w:rsidR="00305474" w:rsidRDefault="00BD5F55">
            <w:pPr>
              <w:widowControl w:val="0"/>
              <w:rPr>
                <w:szCs w:val="22"/>
              </w:rPr>
            </w:pPr>
            <w:r>
              <w:t>50%</w:t>
            </w:r>
          </w:p>
        </w:tc>
      </w:tr>
      <w:tr w:rsidR="00305474" w14:paraId="43E409AF" w14:textId="77777777">
        <w:trPr>
          <w:trHeight w:val="578"/>
        </w:trPr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06F36E88" w14:textId="77777777" w:rsidR="00305474" w:rsidRDefault="00BD5F55">
            <w:pPr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Standard minim de performanță: Studenții să fie prezenți la 80% din ore, să elaboreze și să prezinte tema de seminar. La examen să aibă min. nota 5. </w:t>
            </w:r>
          </w:p>
        </w:tc>
      </w:tr>
      <w:tr w:rsidR="00305474" w14:paraId="6114A94D" w14:textId="77777777">
        <w:tc>
          <w:tcPr>
            <w:tcW w:w="2548" w:type="dxa"/>
            <w:gridSpan w:val="2"/>
          </w:tcPr>
          <w:p w14:paraId="1E5453D8" w14:textId="77777777" w:rsidR="00305474" w:rsidRDefault="00BD5F5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Data completării</w:t>
            </w:r>
          </w:p>
        </w:tc>
        <w:tc>
          <w:tcPr>
            <w:tcW w:w="3349" w:type="dxa"/>
            <w:gridSpan w:val="3"/>
          </w:tcPr>
          <w:p w14:paraId="24215412" w14:textId="77777777" w:rsidR="00305474" w:rsidRDefault="00BD5F5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titularului de curs</w:t>
            </w:r>
          </w:p>
        </w:tc>
        <w:tc>
          <w:tcPr>
            <w:tcW w:w="3740" w:type="dxa"/>
            <w:gridSpan w:val="2"/>
          </w:tcPr>
          <w:p w14:paraId="2DA2FEC5" w14:textId="77777777" w:rsidR="00305474" w:rsidRDefault="00BD5F5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titularului de seminar</w:t>
            </w:r>
          </w:p>
        </w:tc>
      </w:tr>
      <w:tr w:rsidR="00305474" w14:paraId="2A6ACFAA" w14:textId="77777777">
        <w:trPr>
          <w:trHeight w:val="689"/>
        </w:trPr>
        <w:tc>
          <w:tcPr>
            <w:tcW w:w="2548" w:type="dxa"/>
            <w:gridSpan w:val="2"/>
            <w:vAlign w:val="bottom"/>
          </w:tcPr>
          <w:p w14:paraId="70AFD1BA" w14:textId="3C3513D1" w:rsidR="00305474" w:rsidRDefault="00BD5F55">
            <w:pPr>
              <w:widowControl w:val="0"/>
            </w:pPr>
            <w:r>
              <w:t>15 septembrie 202</w:t>
            </w:r>
            <w:r w:rsidR="0023196B">
              <w:t>5</w:t>
            </w:r>
          </w:p>
        </w:tc>
        <w:tc>
          <w:tcPr>
            <w:tcW w:w="3349" w:type="dxa"/>
            <w:gridSpan w:val="3"/>
            <w:vAlign w:val="bottom"/>
          </w:tcPr>
          <w:p w14:paraId="240DB5D9" w14:textId="77777777" w:rsidR="00305474" w:rsidRDefault="00A36D06">
            <w:pPr>
              <w:widowControl w:val="0"/>
              <w:tabs>
                <w:tab w:val="left" w:leader="dot" w:pos="2835"/>
              </w:tabs>
            </w:pPr>
            <w:r>
              <w:rPr>
                <w:rFonts w:cs="Times New Roman"/>
                <w:sz w:val="24"/>
              </w:rPr>
              <w:t>Dr. Bordás Andrea</w:t>
            </w:r>
            <w:r w:rsidRPr="001B43FF">
              <w:rPr>
                <w:rFonts w:cs="Times New Roman"/>
                <w:sz w:val="24"/>
              </w:rPr>
              <w:t xml:space="preserve">       </w:t>
            </w:r>
          </w:p>
        </w:tc>
        <w:tc>
          <w:tcPr>
            <w:tcW w:w="3740" w:type="dxa"/>
            <w:gridSpan w:val="2"/>
            <w:vAlign w:val="bottom"/>
          </w:tcPr>
          <w:p w14:paraId="3D060140" w14:textId="77777777" w:rsidR="00305474" w:rsidRDefault="00A36D06">
            <w:pPr>
              <w:widowControl w:val="0"/>
              <w:tabs>
                <w:tab w:val="left" w:leader="dot" w:pos="2835"/>
              </w:tabs>
            </w:pPr>
            <w:r>
              <w:rPr>
                <w:rFonts w:cs="Times New Roman"/>
                <w:sz w:val="24"/>
              </w:rPr>
              <w:t>Dr. Bordás Andrea</w:t>
            </w:r>
            <w:r w:rsidRPr="001B43FF">
              <w:rPr>
                <w:rFonts w:cs="Times New Roman"/>
                <w:sz w:val="24"/>
              </w:rPr>
              <w:t xml:space="preserve">       </w:t>
            </w:r>
          </w:p>
        </w:tc>
      </w:tr>
      <w:tr w:rsidR="00305474" w14:paraId="517CCE4F" w14:textId="77777777">
        <w:trPr>
          <w:trHeight w:val="675"/>
        </w:trPr>
        <w:tc>
          <w:tcPr>
            <w:tcW w:w="4417" w:type="dxa"/>
            <w:gridSpan w:val="3"/>
            <w:vAlign w:val="bottom"/>
          </w:tcPr>
          <w:p w14:paraId="5EAD774F" w14:textId="77777777" w:rsidR="00305474" w:rsidRDefault="00BD5F5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Data avizării în departament:</w:t>
            </w:r>
          </w:p>
        </w:tc>
        <w:tc>
          <w:tcPr>
            <w:tcW w:w="5220" w:type="dxa"/>
            <w:gridSpan w:val="4"/>
            <w:vAlign w:val="bottom"/>
          </w:tcPr>
          <w:p w14:paraId="3FC707A3" w14:textId="77777777" w:rsidR="00305474" w:rsidRDefault="00BD5F55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directorului de departament:</w:t>
            </w:r>
          </w:p>
        </w:tc>
      </w:tr>
      <w:tr w:rsidR="00305474" w14:paraId="165A9BBD" w14:textId="77777777">
        <w:trPr>
          <w:trHeight w:val="802"/>
        </w:trPr>
        <w:tc>
          <w:tcPr>
            <w:tcW w:w="4417" w:type="dxa"/>
            <w:gridSpan w:val="3"/>
            <w:vAlign w:val="bottom"/>
          </w:tcPr>
          <w:p w14:paraId="3C037B3A" w14:textId="77777777" w:rsidR="00305474" w:rsidRDefault="00305474">
            <w:pPr>
              <w:widowControl w:val="0"/>
              <w:tabs>
                <w:tab w:val="left" w:leader="dot" w:pos="2835"/>
              </w:tabs>
            </w:pPr>
          </w:p>
        </w:tc>
        <w:tc>
          <w:tcPr>
            <w:tcW w:w="5220" w:type="dxa"/>
            <w:gridSpan w:val="4"/>
            <w:vAlign w:val="bottom"/>
          </w:tcPr>
          <w:p w14:paraId="6C9B2155" w14:textId="77777777" w:rsidR="00305474" w:rsidRDefault="00305474">
            <w:pPr>
              <w:widowControl w:val="0"/>
              <w:tabs>
                <w:tab w:val="left" w:leader="dot" w:pos="2835"/>
              </w:tabs>
            </w:pPr>
          </w:p>
        </w:tc>
      </w:tr>
    </w:tbl>
    <w:p w14:paraId="2D155DD4" w14:textId="77777777" w:rsidR="00305474" w:rsidRDefault="00305474"/>
    <w:sectPr w:rsidR="00305474">
      <w:pgSz w:w="11906" w:h="16838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4E5"/>
    <w:multiLevelType w:val="multilevel"/>
    <w:tmpl w:val="42F2A26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23802332"/>
    <w:multiLevelType w:val="multilevel"/>
    <w:tmpl w:val="E1D89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555598"/>
    <w:multiLevelType w:val="multilevel"/>
    <w:tmpl w:val="FE4E89F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3" w15:restartNumberingAfterBreak="0">
    <w:nsid w:val="544A67D0"/>
    <w:multiLevelType w:val="multilevel"/>
    <w:tmpl w:val="E72C088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num w:numId="1" w16cid:durableId="790244322">
    <w:abstractNumId w:val="2"/>
  </w:num>
  <w:num w:numId="2" w16cid:durableId="2048556765">
    <w:abstractNumId w:val="3"/>
  </w:num>
  <w:num w:numId="3" w16cid:durableId="389768482">
    <w:abstractNumId w:val="0"/>
  </w:num>
  <w:num w:numId="4" w16cid:durableId="54009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474"/>
    <w:rsid w:val="0009243C"/>
    <w:rsid w:val="001D4257"/>
    <w:rsid w:val="0023196B"/>
    <w:rsid w:val="00305474"/>
    <w:rsid w:val="00465A48"/>
    <w:rsid w:val="00484258"/>
    <w:rsid w:val="00A36D06"/>
    <w:rsid w:val="00B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7C14"/>
  <w15:docId w15:val="{93F15C5E-3F6B-4B75-B358-6A130663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isatitlu">
    <w:name w:val="Fisa_titlu"/>
    <w:basedOn w:val="Normal"/>
    <w:qFormat/>
    <w:pPr>
      <w:spacing w:after="227"/>
      <w:jc w:val="center"/>
    </w:pPr>
    <w:rPr>
      <w:b/>
      <w:caps/>
      <w:sz w:val="28"/>
    </w:rPr>
  </w:style>
  <w:style w:type="paragraph" w:customStyle="1" w:styleId="Fisasubtitlu">
    <w:name w:val="Fisa_subtitlu"/>
    <w:basedOn w:val="Normal"/>
    <w:next w:val="Normal"/>
    <w:qFormat/>
    <w:pPr>
      <w:keepNext/>
      <w:spacing w:before="113" w:after="170"/>
    </w:pPr>
    <w:rPr>
      <w:b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rPr>
      <w:b/>
    </w:rPr>
  </w:style>
  <w:style w:type="paragraph" w:styleId="BodyTextIndent">
    <w:name w:val="Body Text Indent"/>
    <w:basedOn w:val="Normal"/>
    <w:pPr>
      <w:spacing w:after="120"/>
      <w:ind w:left="360"/>
    </w:pPr>
    <w:rPr>
      <w:rFonts w:cs="Times New Roman"/>
      <w:sz w:val="24"/>
      <w:lang w:val="hu-HU" w:eastAsia="hu-HU"/>
    </w:r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  <w:style w:type="paragraph" w:customStyle="1" w:styleId="Fisasubtitlubibliografie">
    <w:name w:val="Fisa_subtitlu_bibliografie"/>
    <w:basedOn w:val="Fisasubtitlu"/>
    <w:next w:val="Normal"/>
    <w:qFormat/>
    <w:pPr>
      <w:spacing w:before="0"/>
    </w:pPr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Fisanumerotare">
    <w:name w:val="Fisa_numerotare"/>
    <w:qFormat/>
  </w:style>
  <w:style w:type="numbering" w:customStyle="1" w:styleId="Fisaliniute">
    <w:name w:val="Fisa_liniu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Székedi</dc:creator>
  <cp:lastModifiedBy>Heni</cp:lastModifiedBy>
  <cp:revision>29</cp:revision>
  <cp:lastPrinted>2024-02-19T11:04:00Z</cp:lastPrinted>
  <dcterms:created xsi:type="dcterms:W3CDTF">2023-12-03T22:29:00Z</dcterms:created>
  <dcterms:modified xsi:type="dcterms:W3CDTF">2026-06-03T20:42:00Z</dcterms:modified>
  <dc:language>hu-HU</dc:language>
</cp:coreProperties>
</file>