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F" w:rsidRDefault="00507ADD">
      <w:pPr>
        <w:tabs>
          <w:tab w:val="center" w:pos="5263"/>
        </w:tabs>
        <w:spacing w:after="42" w:line="251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FIŞA DISCIPLINEI</w:t>
      </w:r>
      <w:r>
        <w:rPr>
          <w:rFonts w:ascii="Times New Roman" w:eastAsia="Times New Roman" w:hAnsi="Times New Roman" w:cs="Times New Roman"/>
          <w:b/>
          <w:sz w:val="37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ind w:left="614" w:hanging="360"/>
      </w:pPr>
      <w:r>
        <w:t xml:space="preserve">Date </w:t>
      </w:r>
      <w:proofErr w:type="spellStart"/>
      <w:r>
        <w:t>despre</w:t>
      </w:r>
      <w:proofErr w:type="spellEnd"/>
      <w:r>
        <w:t xml:space="preserve"> program </w:t>
      </w:r>
    </w:p>
    <w:p w:rsidR="008D15AF" w:rsidRDefault="00507ADD">
      <w:pPr>
        <w:spacing w:after="0"/>
        <w:ind w:left="2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2" w:type="dxa"/>
        <w:tblInd w:w="5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6397"/>
      </w:tblGrid>
      <w:tr w:rsidR="008D15AF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Creştina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Arte </w:t>
            </w:r>
          </w:p>
        </w:tc>
      </w:tr>
      <w:tr w:rsidR="008D15AF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D15AF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Licențiat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filologie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D15AF" w:rsidRDefault="00507ADD">
      <w:pPr>
        <w:spacing w:after="1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ind w:left="614" w:hanging="360"/>
      </w:pPr>
      <w:r>
        <w:t xml:space="preserve">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</w:t>
      </w:r>
    </w:p>
    <w:p w:rsidR="008D15AF" w:rsidRDefault="00507ADD">
      <w:pPr>
        <w:spacing w:after="0"/>
        <w:ind w:left="2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2" w:type="dxa"/>
        <w:tblInd w:w="55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6363"/>
      </w:tblGrid>
      <w:tr w:rsidR="008D15AF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Întroducere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dr. Pop Titus  </w:t>
            </w:r>
          </w:p>
        </w:tc>
      </w:tr>
      <w:tr w:rsidR="008D15AF">
        <w:trPr>
          <w:trHeight w:val="2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dr. Pop Titus </w:t>
            </w:r>
          </w:p>
        </w:tc>
      </w:tr>
      <w:tr w:rsidR="008D15AF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</w:tr>
      <w:tr w:rsidR="008D15AF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8D15AF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parcurs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opțională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D15AF" w:rsidRDefault="00507ADD">
      <w:pPr>
        <w:spacing w:after="8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ind w:left="614" w:hanging="360"/>
      </w:pPr>
      <w:proofErr w:type="spellStart"/>
      <w:r>
        <w:t>Timpul</w:t>
      </w:r>
      <w:proofErr w:type="spellEnd"/>
      <w:r>
        <w:t xml:space="preserve"> total </w:t>
      </w:r>
      <w:proofErr w:type="spellStart"/>
      <w:r>
        <w:t>estimat</w:t>
      </w:r>
      <w:proofErr w:type="spellEnd"/>
      <w:r>
        <w:t xml:space="preserve"> </w:t>
      </w:r>
    </w:p>
    <w:p w:rsidR="008D15AF" w:rsidRDefault="00507ADD">
      <w:pPr>
        <w:spacing w:after="0"/>
        <w:ind w:left="2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2" w:type="dxa"/>
        <w:tblInd w:w="55" w:type="dxa"/>
        <w:tblCellMar>
          <w:top w:w="5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3937"/>
        <w:gridCol w:w="708"/>
        <w:gridCol w:w="1844"/>
        <w:gridCol w:w="710"/>
        <w:gridCol w:w="2273"/>
        <w:gridCol w:w="720"/>
      </w:tblGrid>
      <w:tr w:rsidR="008D15AF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săptămână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 care3.2curs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3.3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D15AF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Total ore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din care3.5curs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3.6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8D15A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manual, support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notiţe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bibliotecă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platforme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electronice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eseuri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Tutoriat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Examinări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8D15A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3.7 Total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individual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B5169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3.8 Total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pesemestru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</w:tr>
      <w:tr w:rsidR="008D15A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credite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8D15AF" w:rsidRDefault="00507ADD">
      <w:pPr>
        <w:spacing w:after="12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spacing w:after="49" w:line="265" w:lineRule="auto"/>
        <w:ind w:left="629" w:hanging="360"/>
      </w:pPr>
      <w:proofErr w:type="spellStart"/>
      <w:proofErr w:type="gramStart"/>
      <w:r>
        <w:t>Precondiţii</w:t>
      </w:r>
      <w:proofErr w:type="spellEnd"/>
      <w:r>
        <w:rPr>
          <w:b w:val="0"/>
        </w:rPr>
        <w:t>(</w:t>
      </w:r>
      <w:proofErr w:type="spellStart"/>
      <w:proofErr w:type="gramEnd"/>
      <w:r>
        <w:rPr>
          <w:b w:val="0"/>
        </w:rPr>
        <w:t>acolo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cazul</w:t>
      </w:r>
      <w:proofErr w:type="spellEnd"/>
      <w:r>
        <w:rPr>
          <w:b w:val="0"/>
        </w:rPr>
        <w:t xml:space="preserve">)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192" w:type="dxa"/>
        <w:tblInd w:w="55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8099"/>
      </w:tblGrid>
      <w:tr w:rsidR="008D15AF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de curriculum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avansat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D15AF" w:rsidRDefault="00507ADD">
      <w:pPr>
        <w:spacing w:after="8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spacing w:after="49" w:line="265" w:lineRule="auto"/>
        <w:ind w:left="629" w:hanging="360"/>
      </w:pPr>
      <w:proofErr w:type="spellStart"/>
      <w:r>
        <w:t>Condiţii</w:t>
      </w:r>
      <w:proofErr w:type="spellEnd"/>
      <w:r>
        <w:t xml:space="preserve"> </w:t>
      </w:r>
      <w:r>
        <w:rPr>
          <w:b w:val="0"/>
        </w:rPr>
        <w:t>(</w:t>
      </w:r>
      <w:proofErr w:type="spellStart"/>
      <w:r>
        <w:rPr>
          <w:b w:val="0"/>
        </w:rPr>
        <w:t>acolo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cazul</w:t>
      </w:r>
      <w:proofErr w:type="spellEnd"/>
      <w:r>
        <w:rPr>
          <w:b w:val="0"/>
        </w:rPr>
        <w:t xml:space="preserve">)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192" w:type="dxa"/>
        <w:tblInd w:w="55" w:type="dxa"/>
        <w:tblCellMar>
          <w:top w:w="7" w:type="dxa"/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4928"/>
        <w:gridCol w:w="5264"/>
      </w:tblGrid>
      <w:tr w:rsidR="008D15AF">
        <w:trPr>
          <w:trHeight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Echipament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multimedia,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conexiune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7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seminar, laptop,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conexiune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copiator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828800" cy="8890"/>
                <wp:effectExtent l="0" t="0" r="0" b="0"/>
                <wp:docPr id="21340" name="Group 2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0"/>
                          <a:chOff x="0" y="0"/>
                          <a:chExt cx="1828800" cy="889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40" style="width:144pt;height:0.7pt;mso-position-horizontal-relative:char;mso-position-vertical-relative:line" coordsize="18288,88">
                <v:shape id="Shape 6" style="position:absolute;width:18288;height:0;left:0;top:0;" coordsize="1828800,0" path="m0,0l182880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D15AF" w:rsidRDefault="00507ADD">
      <w:pPr>
        <w:pStyle w:val="Heading1"/>
        <w:ind w:left="614" w:hanging="360"/>
      </w:pPr>
      <w:proofErr w:type="spellStart"/>
      <w:r>
        <w:t>Competenţe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 </w:t>
      </w:r>
    </w:p>
    <w:p w:rsidR="008D15AF" w:rsidRDefault="00507ADD">
      <w:pPr>
        <w:spacing w:after="0"/>
        <w:ind w:left="2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2" w:type="dxa"/>
        <w:tblInd w:w="55" w:type="dxa"/>
        <w:tblCellMar>
          <w:top w:w="15" w:type="dxa"/>
          <w:left w:w="7" w:type="dxa"/>
          <w:right w:w="3" w:type="dxa"/>
        </w:tblCellMar>
        <w:tblLook w:val="04A0" w:firstRow="1" w:lastRow="0" w:firstColumn="1" w:lastColumn="0" w:noHBand="0" w:noVBand="1"/>
      </w:tblPr>
      <w:tblGrid>
        <w:gridCol w:w="1527"/>
        <w:gridCol w:w="8665"/>
      </w:tblGrid>
      <w:tr w:rsidR="008D15AF">
        <w:trPr>
          <w:trHeight w:val="39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eficientă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scrisăşi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modernă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8D15AF" w:rsidRDefault="00507AD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C4.3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sub aspect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lingvistic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oricărui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act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practice. </w:t>
            </w:r>
          </w:p>
          <w:p w:rsidR="008D15AF" w:rsidRDefault="00507ADD">
            <w:pPr>
              <w:spacing w:line="29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fonetic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lexical </w:t>
            </w:r>
            <w:proofErr w:type="spellStart"/>
            <w:r>
              <w:rPr>
                <w:sz w:val="24"/>
              </w:rPr>
              <w:t>ș</w:t>
            </w: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gramatical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acestuia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interacţiunea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verbală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D15AF" w:rsidRDefault="00507ADD">
            <w:pPr>
              <w:spacing w:line="270" w:lineRule="auto"/>
              <w:ind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C5.3.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discursurilor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C2 (C1);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fluentă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spontană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C1 (B2),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adaptând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vocabularul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stilul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destinatar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text,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8D15AF" w:rsidRDefault="00507ADD">
            <w:pPr>
              <w:spacing w:line="270" w:lineRule="auto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C5.4.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corectitudinii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text oral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dificultate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abaterilor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grave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lexicale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auxiliare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8D15AF" w:rsidRDefault="00507ADD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C5.5.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eseuri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informative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apelative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minim C1 (B2)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dificultate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redusă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științelor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umaniste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folosind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auxiliare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8D15AF">
        <w:trPr>
          <w:trHeight w:val="16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transversale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CT1.Utilizarea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componentelor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deplină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concordanţă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CT2.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Relaţionarea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interpersonală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CT3.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îndeplinirea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</w:tc>
      </w:tr>
    </w:tbl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spacing w:after="27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spacing w:after="0" w:line="265" w:lineRule="auto"/>
        <w:ind w:left="280" w:hanging="240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r>
        <w:rPr>
          <w:b w:val="0"/>
        </w:rPr>
        <w:t>(</w:t>
      </w:r>
      <w:proofErr w:type="spellStart"/>
      <w:r>
        <w:rPr>
          <w:b w:val="0"/>
        </w:rPr>
        <w:t>reieşind</w:t>
      </w:r>
      <w:proofErr w:type="spellEnd"/>
      <w:r>
        <w:rPr>
          <w:b w:val="0"/>
        </w:rPr>
        <w:t xml:space="preserve"> din </w:t>
      </w:r>
      <w:proofErr w:type="spellStart"/>
      <w:r>
        <w:rPr>
          <w:b w:val="0"/>
        </w:rPr>
        <w:t>grila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competenţelor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specifice</w:t>
      </w:r>
      <w:proofErr w:type="spellEnd"/>
      <w:r>
        <w:rPr>
          <w:b w:val="0"/>
        </w:rPr>
        <w:t xml:space="preserve"> accumulate) </w:t>
      </w:r>
    </w:p>
    <w:tbl>
      <w:tblPr>
        <w:tblStyle w:val="TableGrid"/>
        <w:tblW w:w="10192" w:type="dxa"/>
        <w:tblInd w:w="5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1702"/>
        <w:gridCol w:w="725"/>
        <w:gridCol w:w="7765"/>
      </w:tblGrid>
      <w:tr w:rsidR="008D15AF">
        <w:trPr>
          <w:trHeight w:val="1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spacing w:after="257"/>
              <w:ind w:left="20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Pr>
              <w:spacing w:after="53" w:line="244" w:lineRule="auto"/>
              <w:ind w:left="2115" w:hanging="2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insuşirea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aprofundarea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noţiuni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traductologie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  </w:t>
            </w:r>
          </w:p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înţelege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traduce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deprinderilor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593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familiarizarea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calculator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TRADOS, Memo Q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problemele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modernă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94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competitivă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D15AF">
        <w:trPr>
          <w:trHeight w:val="26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contextelor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5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accentuarea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exactităţii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redării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păstrarea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expresivităţii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iniţial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creativitatea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traducătorului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569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evidenţierea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dificultăţilor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interpretării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95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gestionarea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vocabularului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specializat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</w:tc>
      </w:tr>
      <w:tr w:rsidR="008D15AF">
        <w:trPr>
          <w:trHeight w:val="582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5AF" w:rsidRDefault="00507ADD">
            <w:pPr>
              <w:ind w:left="16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(auto)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D15AF">
        <w:trPr>
          <w:trHeight w:val="90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8D15AF"/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15AF" w:rsidRDefault="00507ADD">
            <w:pPr>
              <w:ind w:left="152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creativ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cunoştinţele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dobândite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curs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inţelegerea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interpretării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globalizată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</w:tc>
      </w:tr>
    </w:tbl>
    <w:p w:rsidR="008D15AF" w:rsidRDefault="00507ADD">
      <w:pPr>
        <w:spacing w:after="27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ind w:left="494" w:hanging="240"/>
      </w:pPr>
      <w:proofErr w:type="spellStart"/>
      <w:r>
        <w:lastRenderedPageBreak/>
        <w:t>Conţinuturi</w:t>
      </w:r>
      <w:proofErr w:type="spellEnd"/>
      <w:r>
        <w:rPr>
          <w:b w:val="0"/>
        </w:rPr>
        <w:t xml:space="preserve"> </w:t>
      </w:r>
    </w:p>
    <w:tbl>
      <w:tblPr>
        <w:tblStyle w:val="TableGrid"/>
        <w:tblW w:w="10192" w:type="dxa"/>
        <w:tblInd w:w="55" w:type="dxa"/>
        <w:tblCellMar>
          <w:top w:w="7" w:type="dxa"/>
          <w:left w:w="65" w:type="dxa"/>
          <w:right w:w="91" w:type="dxa"/>
        </w:tblCellMar>
        <w:tblLook w:val="04A0" w:firstRow="1" w:lastRow="0" w:firstColumn="1" w:lastColumn="0" w:noHBand="0" w:noVBand="1"/>
      </w:tblPr>
      <w:tblGrid>
        <w:gridCol w:w="5353"/>
        <w:gridCol w:w="3579"/>
        <w:gridCol w:w="1260"/>
      </w:tblGrid>
      <w:tr w:rsidR="008D15AF">
        <w:trPr>
          <w:trHeight w:val="3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Curs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43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1. Intro to translation theory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8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line="238" w:lineRule="auto"/>
              <w:ind w:left="43" w:right="215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The translator as learner The translator´s intelligence. </w:t>
            </w:r>
          </w:p>
          <w:p w:rsidR="008D15AF" w:rsidRDefault="00507AD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08" w:right="11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interactive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55" w:tblpY="-7604"/>
        <w:tblOverlap w:val="never"/>
        <w:tblW w:w="10192" w:type="dxa"/>
        <w:tblInd w:w="0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353"/>
        <w:gridCol w:w="3579"/>
        <w:gridCol w:w="1260"/>
      </w:tblGrid>
      <w:tr w:rsidR="008D15AF">
        <w:trPr>
          <w:trHeight w:val="5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The translator´s learning styles. Context, Input, </w:t>
            </w:r>
          </w:p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Processing 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PPT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60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The process of translation. Induction and deduction.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after="24"/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Translation and linguistics. Doing things with words.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The translator and speech-act theory 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6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 translator as social being.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:rsidR="008D15AF" w:rsidRDefault="00507AD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Translation as a social activity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after="26"/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Prelegere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6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Terminology studies. </w:t>
            </w:r>
          </w:p>
          <w:p w:rsidR="008D15AF" w:rsidRDefault="00507ADD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A new look at terminology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8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720" w:right="24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Translating cultures.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Intercultural awareness. The importance of cultural knowledge in translation.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Translating different registers. Language styles.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Dezbatere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8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720" w:right="2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Translation resources. Dictionaries,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Online dictionaries, glossaries, term databases,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enc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yclopedias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after="26"/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interactive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8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Translation and technology. Using electronic means in translation. 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after="24"/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pPr>
              <w:spacing w:after="26"/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online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Translation engines-gains and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losses.Translation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activities. 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right="1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Discuții,Exerciţii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False friends in translation. 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exemplificări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Course round -up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recapitulative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</w:tbl>
    <w:p w:rsidR="008D15AF" w:rsidRDefault="00507ADD">
      <w:pPr>
        <w:spacing w:after="0"/>
        <w:ind w:left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2" w:type="dxa"/>
        <w:tblInd w:w="55" w:type="dxa"/>
        <w:tblCellMar>
          <w:top w:w="9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5353"/>
        <w:gridCol w:w="3579"/>
        <w:gridCol w:w="1260"/>
      </w:tblGrid>
      <w:tr w:rsidR="008D15AF">
        <w:trPr>
          <w:trHeight w:val="4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Seminar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4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1.Orientation.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Asignments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52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The meaning of words. Multiple meanings.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Contextual translation exercises.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Translating different kinds of texts (style)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Translating literary texts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6.Translating and interpreting activities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7. Mid-term test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8.Terminology updated. Translating terms.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 .Translation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register. Reading sample texts of different registers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Cultural translation.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Translation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software.TRADOS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laptop,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tabletă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False friends in translation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Joint correction and verification of home translation.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End-term test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oră</w:t>
            </w:r>
            <w:proofErr w:type="spellEnd"/>
            <w:r>
              <w:t xml:space="preserve"> </w:t>
            </w:r>
          </w:p>
        </w:tc>
      </w:tr>
      <w:tr w:rsidR="008D15AF">
        <w:trPr>
          <w:trHeight w:val="550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D15AF">
        <w:trPr>
          <w:trHeight w:val="808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Anderman,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Gunilla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M., and Margaret Rogers, eds.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Words, Words, Words: The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Translator and the Language Learner.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Clevedon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: Multilingual Matters, 2001</w:t>
            </w:r>
            <w:hyperlink r:id="rId7">
              <w:r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https://epdf.tips/words</w:t>
              </w:r>
            </w:hyperlink>
            <w:hyperlink r:id="rId9"/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words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words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the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translator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and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the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language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-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learner.html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</w:tr>
      <w:tr w:rsidR="008D15AF">
        <w:trPr>
          <w:trHeight w:val="3313"/>
        </w:trPr>
        <w:tc>
          <w:tcPr>
            <w:tcW w:w="101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pPr>
              <w:spacing w:line="238" w:lineRule="auto"/>
              <w:ind w:left="567" w:hanging="567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Bowker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, Lynne.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Computer-Aided Translation Technology: A Practical Introduction.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Ottawa: Ottawa University Press, 2002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Landers, Clifford.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Literary Translation: A Practical Guide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. 2001.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Clevedon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Multilingual Matters. </w:t>
            </w:r>
          </w:p>
          <w:p w:rsidR="008D15AF" w:rsidRDefault="00507ADD">
            <w:pPr>
              <w:spacing w:line="238" w:lineRule="auto"/>
              <w:ind w:left="567" w:hanging="567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Lathey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Gillian.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The Translation of Children’s Literature: A Reader.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2006.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Clevedon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Multilingual Matters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McArthur, Tom.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Lexicon of Contemporary English.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London: Longman, 1981, 2000. </w:t>
            </w:r>
          </w:p>
          <w:p w:rsidR="008D15AF" w:rsidRDefault="00507ADD">
            <w:pPr>
              <w:spacing w:line="238" w:lineRule="auto"/>
              <w:ind w:left="567" w:hanging="5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Robinson Douglas.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Becoming a Translator: An Introduction to the Theory and Practice of Translation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London: Routledge, 2003</w:t>
            </w:r>
            <w:hyperlink r:id="rId2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http://npu.edu.ua/!e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8D15AF" w:rsidRDefault="00057EB4">
            <w:pPr>
              <w:ind w:firstLine="567"/>
            </w:pPr>
            <w:hyperlink r:id="rId29">
              <w:r w:rsidR="00507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book/book/djvu/A/iif_kgpm_Douglas%20Robinson.%20Becomming_a_Translator_.pdf</w:t>
              </w:r>
            </w:hyperlink>
            <w:hyperlink r:id="rId30">
              <w:r w:rsidR="00507ADD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507ADD">
              <w:rPr>
                <w:rFonts w:ascii="Times New Roman" w:eastAsia="Times New Roman" w:hAnsi="Times New Roman" w:cs="Times New Roman"/>
                <w:sz w:val="24"/>
              </w:rPr>
              <w:t xml:space="preserve"> Summers, Della. </w:t>
            </w:r>
            <w:r w:rsidR="00507ADD">
              <w:rPr>
                <w:rFonts w:ascii="Times New Roman" w:eastAsia="Times New Roman" w:hAnsi="Times New Roman" w:cs="Times New Roman"/>
                <w:i/>
                <w:sz w:val="24"/>
              </w:rPr>
              <w:t>Longman dictionary of English language and culture</w:t>
            </w:r>
            <w:r w:rsidR="00507ADD">
              <w:rPr>
                <w:rFonts w:ascii="Times New Roman" w:eastAsia="Times New Roman" w:hAnsi="Times New Roman" w:cs="Times New Roman"/>
                <w:sz w:val="24"/>
              </w:rPr>
              <w:t xml:space="preserve">. Harlow: Longman, 2002. </w:t>
            </w:r>
            <w:proofErr w:type="spellStart"/>
            <w:r w:rsidR="00507ADD">
              <w:rPr>
                <w:rFonts w:ascii="Times New Roman" w:eastAsia="Times New Roman" w:hAnsi="Times New Roman" w:cs="Times New Roman"/>
                <w:sz w:val="24"/>
              </w:rPr>
              <w:t>Venutti</w:t>
            </w:r>
            <w:proofErr w:type="spellEnd"/>
            <w:r w:rsidR="00507ADD">
              <w:rPr>
                <w:rFonts w:ascii="Times New Roman" w:eastAsia="Times New Roman" w:hAnsi="Times New Roman" w:cs="Times New Roman"/>
                <w:sz w:val="24"/>
              </w:rPr>
              <w:t xml:space="preserve">, Lawrence. The Translation Studies Reader. 2012. London: Routledge. </w:t>
            </w:r>
            <w:hyperlink r:id="rId31">
              <w:r w:rsidR="00507ADD"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http://www.rahul.net/lai/companion.htm</w:t>
              </w:r>
            </w:hyperlink>
            <w:hyperlink r:id="rId32">
              <w:r w:rsidR="00507ADD"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</w:p>
        </w:tc>
      </w:tr>
      <w:tr w:rsidR="008D15AF">
        <w:trPr>
          <w:trHeight w:val="290"/>
        </w:trPr>
        <w:tc>
          <w:tcPr>
            <w:tcW w:w="101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057EB4">
            <w:hyperlink r:id="rId33">
              <w:r w:rsidR="00507ADD"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>www.sdltrados.com</w:t>
              </w:r>
            </w:hyperlink>
            <w:hyperlink r:id="rId34">
              <w:r w:rsidR="00507ADD">
                <w:rPr>
                  <w:rFonts w:ascii="Times New Roman" w:eastAsia="Times New Roman" w:hAnsi="Times New Roman" w:cs="Times New Roman"/>
                  <w:color w:val="333333"/>
                  <w:sz w:val="24"/>
                </w:rPr>
                <w:t xml:space="preserve"> </w:t>
              </w:r>
            </w:hyperlink>
          </w:p>
          <w:p w:rsidR="008D15AF" w:rsidRDefault="00507ADD">
            <w:proofErr w:type="spellStart"/>
            <w:r>
              <w:rPr>
                <w:i/>
              </w:rPr>
              <w:t>MemoQ</w:t>
            </w:r>
            <w:proofErr w:type="spellEnd"/>
            <w:r>
              <w:rPr>
                <w:i/>
              </w:rPr>
              <w:t xml:space="preserve"> Training Videos, </w:t>
            </w:r>
            <w:hyperlink r:id="rId35">
              <w:r>
                <w:rPr>
                  <w:color w:val="0000FF"/>
                  <w:u w:val="single" w:color="0000FF"/>
                </w:rPr>
                <w:t>http://kilgray.com/resource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37">
              <w:r>
                <w:rPr>
                  <w:color w:val="0000FF"/>
                  <w:u w:val="single" w:color="0000FF"/>
                </w:rPr>
                <w:t>center/training</w:t>
              </w:r>
            </w:hyperlink>
            <w:hyperlink r:id="rId38">
              <w:r>
                <w:t xml:space="preserve"> </w:t>
              </w:r>
            </w:hyperlink>
          </w:p>
          <w:p w:rsidR="008D15AF" w:rsidRDefault="00507ADD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Curs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CD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Introducere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teoria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traducerii-T.Pop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D15AF">
        <w:trPr>
          <w:trHeight w:val="5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8D15AF"/>
        </w:tc>
      </w:tr>
    </w:tbl>
    <w:p w:rsidR="008D15AF" w:rsidRDefault="00507ADD">
      <w:pPr>
        <w:spacing w:after="58"/>
        <w:ind w:left="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15AF" w:rsidRDefault="00507ADD">
      <w:pPr>
        <w:pStyle w:val="Heading1"/>
        <w:spacing w:after="64"/>
      </w:pPr>
      <w:proofErr w:type="spellStart"/>
      <w:r>
        <w:t>Coroborarea</w:t>
      </w:r>
      <w:proofErr w:type="spellEnd"/>
      <w:r>
        <w:t xml:space="preserve"> </w:t>
      </w:r>
      <w:proofErr w:type="spellStart"/>
      <w:r>
        <w:t>conţinuturilor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cu </w:t>
      </w:r>
      <w:proofErr w:type="spellStart"/>
      <w:r>
        <w:t>aşteptările</w:t>
      </w:r>
      <w:proofErr w:type="spellEnd"/>
      <w:r>
        <w:t xml:space="preserve"> </w:t>
      </w:r>
      <w:proofErr w:type="spellStart"/>
      <w:r>
        <w:t>reprezentanţilor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</w:t>
      </w:r>
      <w:proofErr w:type="spellStart"/>
      <w:r>
        <w:t>epistemice</w:t>
      </w:r>
      <w:proofErr w:type="spellEnd"/>
      <w:r>
        <w:t xml:space="preserve">, </w:t>
      </w:r>
      <w:proofErr w:type="spellStart"/>
      <w:r>
        <w:t>asociaţilor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angajatori</w:t>
      </w:r>
      <w:proofErr w:type="spellEnd"/>
      <w:r>
        <w:t xml:space="preserve"> </w:t>
      </w:r>
      <w:proofErr w:type="spellStart"/>
      <w:r>
        <w:t>reprezentativi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</w:p>
    <w:p w:rsidR="008D15AF" w:rsidRDefault="00507A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55"/>
      </w:pPr>
      <w:proofErr w:type="spellStart"/>
      <w:r>
        <w:rPr>
          <w:rFonts w:ascii="Times New Roman" w:eastAsia="Times New Roman" w:hAnsi="Times New Roman" w:cs="Times New Roman"/>
          <w:sz w:val="24"/>
        </w:rPr>
        <w:t>Conţinutul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concordanţă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ceea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face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ţară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străinătate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adaptarea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pieţei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muncii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conţinutului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întâlniri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atât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limbă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literatură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regiune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traducători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reprezentanţi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angajatorilor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mediul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socio-cultural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15AF" w:rsidRDefault="00507ADD">
      <w:pPr>
        <w:spacing w:after="9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pStyle w:val="Heading1"/>
        <w:ind w:left="614" w:hanging="360"/>
      </w:pPr>
      <w:proofErr w:type="spellStart"/>
      <w:r>
        <w:t>Evaluare</w:t>
      </w:r>
      <w:proofErr w:type="spellEnd"/>
      <w:r>
        <w:t xml:space="preserve"> </w:t>
      </w:r>
    </w:p>
    <w:p w:rsidR="008D15AF" w:rsidRDefault="00507ADD">
      <w:pPr>
        <w:spacing w:after="0"/>
        <w:ind w:left="2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2" w:type="dxa"/>
        <w:tblInd w:w="55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2410"/>
        <w:gridCol w:w="2717"/>
        <w:gridCol w:w="2847"/>
      </w:tblGrid>
      <w:tr w:rsidR="008D15AF">
        <w:trPr>
          <w:trHeight w:val="6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10.3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8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10.4 Curs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pPr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aprofundarea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noţiuni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traductologie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practice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asimilare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50% 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19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10.5 Seminar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spacing w:line="265" w:lineRule="auto"/>
              <w:ind w:left="5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cunoștințelor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asimilate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atitudine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pozitivă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proactivă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</w:p>
          <w:p w:rsidR="008D15AF" w:rsidRDefault="00507A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parcurs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413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10.6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>
        <w:trPr>
          <w:trHeight w:val="2504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AF" w:rsidRDefault="00507ADD">
            <w:pPr>
              <w:numPr>
                <w:ilvl w:val="0"/>
                <w:numId w:val="1"/>
              </w:numPr>
              <w:spacing w:after="7" w:line="266" w:lineRule="auto"/>
              <w:ind w:left="362"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principalelor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Diferenţierea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contextelor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D15AF" w:rsidRDefault="00507ADD">
            <w:pPr>
              <w:numPr>
                <w:ilvl w:val="0"/>
                <w:numId w:val="1"/>
              </w:numPr>
              <w:spacing w:after="1" w:line="280" w:lineRule="auto"/>
              <w:ind w:left="362" w:hanging="3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adecvată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terminologiei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cunoștințelor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parcursul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înţelege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traduce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deprinderilor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traducere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D15AF" w:rsidRDefault="00507ADD">
            <w:pPr>
              <w:numPr>
                <w:ilvl w:val="0"/>
                <w:numId w:val="1"/>
              </w:numPr>
              <w:spacing w:line="284" w:lineRule="auto"/>
              <w:ind w:left="362"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dicţionarelor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electronice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date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identificare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stocare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tehnoredactare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8D15AF" w:rsidRDefault="00507ADD">
            <w:pPr>
              <w:numPr>
                <w:ilvl w:val="0"/>
                <w:numId w:val="1"/>
              </w:numPr>
              <w:spacing w:after="33" w:line="238" w:lineRule="auto"/>
              <w:ind w:left="362" w:hanging="3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editarea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logice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coerente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țintă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puțin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8D15AF" w:rsidRDefault="00507ADD">
            <w:pPr>
              <w:numPr>
                <w:ilvl w:val="0"/>
                <w:numId w:val="1"/>
              </w:numPr>
              <w:ind w:left="362"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min. 70%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</w:tc>
      </w:tr>
    </w:tbl>
    <w:p w:rsidR="008D15AF" w:rsidRDefault="00507ADD">
      <w:pPr>
        <w:spacing w:after="32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Pr="004C66EE" w:rsidRDefault="00507ADD">
      <w:pPr>
        <w:tabs>
          <w:tab w:val="center" w:pos="4483"/>
          <w:tab w:val="right" w:pos="10032"/>
        </w:tabs>
        <w:spacing w:after="648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</w:rPr>
        <w:t>completării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titularului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curs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titularului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seminar </w:t>
      </w:r>
    </w:p>
    <w:p w:rsidR="008D15AF" w:rsidRDefault="00507ADD">
      <w:pPr>
        <w:pStyle w:val="Heading1"/>
        <w:numPr>
          <w:ilvl w:val="0"/>
          <w:numId w:val="0"/>
        </w:numPr>
        <w:tabs>
          <w:tab w:val="center" w:pos="3933"/>
          <w:tab w:val="center" w:pos="7578"/>
        </w:tabs>
        <w:spacing w:after="168" w:line="265" w:lineRule="auto"/>
      </w:pPr>
      <w:r>
        <w:rPr>
          <w:b w:val="0"/>
          <w:sz w:val="37"/>
          <w:vertAlign w:val="superscript"/>
        </w:rPr>
        <w:t xml:space="preserve"> </w:t>
      </w:r>
      <w:r>
        <w:rPr>
          <w:b w:val="0"/>
        </w:rPr>
        <w:t xml:space="preserve">    </w:t>
      </w:r>
      <w:r w:rsidR="004C66EE" w:rsidRPr="004C66EE">
        <w:rPr>
          <w:b w:val="0"/>
          <w:szCs w:val="24"/>
          <w:lang w:val="ro-RO"/>
        </w:rPr>
        <w:t>10.09.2024</w:t>
      </w:r>
      <w:r>
        <w:rPr>
          <w:b w:val="0"/>
        </w:rPr>
        <w:t xml:space="preserve">                </w:t>
      </w:r>
      <w:r>
        <w:rPr>
          <w:b w:val="0"/>
          <w:sz w:val="37"/>
          <w:vertAlign w:val="superscript"/>
        </w:rPr>
        <w:t xml:space="preserve"> </w:t>
      </w:r>
      <w:r>
        <w:rPr>
          <w:b w:val="0"/>
          <w:sz w:val="37"/>
          <w:vertAlign w:val="superscript"/>
        </w:rPr>
        <w:tab/>
      </w:r>
      <w:r>
        <w:rPr>
          <w:b w:val="0"/>
        </w:rPr>
        <w:t xml:space="preserve">Lect. dr. Pop Titus      </w:t>
      </w:r>
      <w:r>
        <w:rPr>
          <w:b w:val="0"/>
        </w:rPr>
        <w:tab/>
        <w:t xml:space="preserve">         </w:t>
      </w:r>
      <w:proofErr w:type="spellStart"/>
      <w:r>
        <w:rPr>
          <w:b w:val="0"/>
        </w:rPr>
        <w:t>lect.dr</w:t>
      </w:r>
      <w:proofErr w:type="spellEnd"/>
      <w:r>
        <w:rPr>
          <w:b w:val="0"/>
        </w:rPr>
        <w:t xml:space="preserve">. Pop Titus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5AF" w:rsidRDefault="00507ADD">
      <w:pPr>
        <w:spacing w:after="0"/>
        <w:ind w:left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80" w:type="dxa"/>
        <w:tblInd w:w="55" w:type="dxa"/>
        <w:tblLook w:val="04A0" w:firstRow="1" w:lastRow="0" w:firstColumn="1" w:lastColumn="0" w:noHBand="0" w:noVBand="1"/>
      </w:tblPr>
      <w:tblGrid>
        <w:gridCol w:w="6380"/>
        <w:gridCol w:w="3800"/>
      </w:tblGrid>
      <w:tr w:rsidR="008D15AF" w:rsidTr="004C66EE">
        <w:trPr>
          <w:trHeight w:val="54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8D15AF" w:rsidRDefault="00507ADD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5AF" w:rsidRDefault="00507A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D15AF" w:rsidRDefault="00507AD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5AF" w:rsidTr="004C66EE">
        <w:trPr>
          <w:trHeight w:val="266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8D15AF" w:rsidRDefault="007C0DB9"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507A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D15AF" w:rsidRDefault="00507ADD">
            <w:pPr>
              <w:tabs>
                <w:tab w:val="center" w:pos="1810"/>
                <w:tab w:val="center" w:pos="3701"/>
              </w:tabs>
            </w:pPr>
            <w:r>
              <w:tab/>
            </w:r>
            <w:r w:rsidR="007C0DB9">
              <w:rPr>
                <w:rFonts w:ascii="Times New Roman" w:eastAsia="Times New Roman" w:hAnsi="Times New Roman" w:cs="Times New Roman"/>
              </w:rPr>
              <w:t xml:space="preserve">Lect. Univ. </w:t>
            </w:r>
            <w:proofErr w:type="spellStart"/>
            <w:r w:rsidR="007C0DB9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="007C0D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C0DB9">
              <w:rPr>
                <w:rFonts w:ascii="Times New Roman" w:eastAsia="Times New Roman" w:hAnsi="Times New Roman" w:cs="Times New Roman"/>
              </w:rPr>
              <w:t>Antal-Fórizs</w:t>
            </w:r>
            <w:proofErr w:type="spellEnd"/>
            <w:r w:rsidR="007C0D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C0DB9">
              <w:rPr>
                <w:rFonts w:ascii="Times New Roman" w:eastAsia="Times New Roman" w:hAnsi="Times New Roman" w:cs="Times New Roman"/>
              </w:rPr>
              <w:t>Ioan</w:t>
            </w:r>
            <w:proofErr w:type="spellEnd"/>
            <w:r w:rsidR="007C0DB9">
              <w:rPr>
                <w:rFonts w:ascii="Times New Roman" w:eastAsia="Times New Roman" w:hAnsi="Times New Roman" w:cs="Times New Roman"/>
              </w:rPr>
              <w:t>-James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507ADD" w:rsidRDefault="004C66EE">
      <w:r>
        <w:rPr>
          <w:rFonts w:ascii="Times New Roman" w:hAnsi="Times New Roman" w:cs="Times New Roman"/>
          <w:sz w:val="24"/>
          <w:szCs w:val="24"/>
          <w:lang w:val="ro-RO"/>
        </w:rPr>
        <w:t xml:space="preserve">    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sectPr w:rsidR="00507ADD">
      <w:footnotePr>
        <w:numRestart w:val="eachPage"/>
      </w:footnotePr>
      <w:pgSz w:w="12240" w:h="15840"/>
      <w:pgMar w:top="1066" w:right="1344" w:bottom="32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B4" w:rsidRDefault="00057EB4">
      <w:pPr>
        <w:spacing w:after="0" w:line="240" w:lineRule="auto"/>
      </w:pPr>
      <w:r>
        <w:separator/>
      </w:r>
    </w:p>
  </w:endnote>
  <w:endnote w:type="continuationSeparator" w:id="0">
    <w:p w:rsidR="00057EB4" w:rsidRDefault="0005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B4" w:rsidRDefault="00057EB4">
      <w:pPr>
        <w:spacing w:after="0"/>
        <w:ind w:left="269"/>
      </w:pPr>
      <w:r>
        <w:separator/>
      </w:r>
    </w:p>
  </w:footnote>
  <w:footnote w:type="continuationSeparator" w:id="0">
    <w:p w:rsidR="00057EB4" w:rsidRDefault="00057EB4">
      <w:pPr>
        <w:spacing w:after="0"/>
        <w:ind w:left="269"/>
      </w:pPr>
      <w:r>
        <w:continuationSeparator/>
      </w:r>
    </w:p>
  </w:footnote>
  <w:footnote w:id="1">
    <w:p w:rsidR="008D15AF" w:rsidRDefault="00507ADD">
      <w:pPr>
        <w:pStyle w:val="footnotedescription"/>
      </w:pPr>
      <w:r>
        <w:rPr>
          <w:rStyle w:val="footnotemark"/>
        </w:rPr>
        <w:footnoteRef/>
      </w:r>
      <w:r>
        <w:t xml:space="preserve"> Cf.M.Of.al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I, </w:t>
      </w:r>
      <w:proofErr w:type="gramStart"/>
      <w:r>
        <w:t>Nr.800bis/13.XII.2011,Ordinul</w:t>
      </w:r>
      <w:proofErr w:type="gramEnd"/>
      <w:r>
        <w:t xml:space="preserve"> </w:t>
      </w:r>
      <w:proofErr w:type="spellStart"/>
      <w:r>
        <w:t>ministrului</w:t>
      </w:r>
      <w:proofErr w:type="spellEnd"/>
      <w:r>
        <w:t xml:space="preserve"> nr.5703 din18 oct.2011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ABB"/>
    <w:multiLevelType w:val="hybridMultilevel"/>
    <w:tmpl w:val="1098D85C"/>
    <w:lvl w:ilvl="0" w:tplc="F2AC6DB0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C9C4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A4D5E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DA10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E3D9A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CE1B2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066DE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073EA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4031E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C22A3F"/>
    <w:multiLevelType w:val="hybridMultilevel"/>
    <w:tmpl w:val="005E67E0"/>
    <w:lvl w:ilvl="0" w:tplc="6D0E38CA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A0B94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03258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4C6A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EFE98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C712A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28AAE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5DB6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65A56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AF"/>
    <w:rsid w:val="00057EB4"/>
    <w:rsid w:val="004C66EE"/>
    <w:rsid w:val="00507ADD"/>
    <w:rsid w:val="007C0DB9"/>
    <w:rsid w:val="008D15AF"/>
    <w:rsid w:val="00B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B95D"/>
  <w15:docId w15:val="{DFCFEB34-260F-493C-8E05-43909EEB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9" w:line="251" w:lineRule="auto"/>
      <w:ind w:left="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69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df.tips/words-words-words-the-translator-and-the-language-learner.html" TargetMode="External"/><Relationship Id="rId18" Type="http://schemas.openxmlformats.org/officeDocument/2006/relationships/hyperlink" Target="https://epdf.tips/words-words-words-the-translator-and-the-language-learner.html" TargetMode="External"/><Relationship Id="rId26" Type="http://schemas.openxmlformats.org/officeDocument/2006/relationships/hyperlink" Target="http://npu.edu.ua/!e-book/book/djvu/A/iif_kgpm_Douglas%20Robinson.%20Becomming_a_Translator_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pdf.tips/words-words-words-the-translator-and-the-language-learner.html" TargetMode="External"/><Relationship Id="rId34" Type="http://schemas.openxmlformats.org/officeDocument/2006/relationships/hyperlink" Target="http://www.sdltrados.com/" TargetMode="External"/><Relationship Id="rId7" Type="http://schemas.openxmlformats.org/officeDocument/2006/relationships/hyperlink" Target="https://epdf.tips/words-words-words-the-translator-and-the-language-learner.html" TargetMode="External"/><Relationship Id="rId12" Type="http://schemas.openxmlformats.org/officeDocument/2006/relationships/hyperlink" Target="https://epdf.tips/words-words-words-the-translator-and-the-language-learner.html" TargetMode="External"/><Relationship Id="rId17" Type="http://schemas.openxmlformats.org/officeDocument/2006/relationships/hyperlink" Target="https://epdf.tips/words-words-words-the-translator-and-the-language-learner.html" TargetMode="External"/><Relationship Id="rId25" Type="http://schemas.openxmlformats.org/officeDocument/2006/relationships/hyperlink" Target="https://epdf.tips/words-words-words-the-translator-and-the-language-learner.html" TargetMode="External"/><Relationship Id="rId33" Type="http://schemas.openxmlformats.org/officeDocument/2006/relationships/hyperlink" Target="http://www.sdltrados.com/" TargetMode="External"/><Relationship Id="rId38" Type="http://schemas.openxmlformats.org/officeDocument/2006/relationships/hyperlink" Target="http://kilgray.com/resource-center/trai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df.tips/words-words-words-the-translator-and-the-language-learner.html" TargetMode="External"/><Relationship Id="rId20" Type="http://schemas.openxmlformats.org/officeDocument/2006/relationships/hyperlink" Target="https://epdf.tips/words-words-words-the-translator-and-the-language-learner.html" TargetMode="External"/><Relationship Id="rId29" Type="http://schemas.openxmlformats.org/officeDocument/2006/relationships/hyperlink" Target="http://npu.edu.ua/!e-book/book/djvu/A/iif_kgpm_Douglas%20Robinson.%20Becomming_a_Translator_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df.tips/words-words-words-the-translator-and-the-language-learner.html" TargetMode="External"/><Relationship Id="rId24" Type="http://schemas.openxmlformats.org/officeDocument/2006/relationships/hyperlink" Target="https://epdf.tips/words-words-words-the-translator-and-the-language-learner.html" TargetMode="External"/><Relationship Id="rId32" Type="http://schemas.openxmlformats.org/officeDocument/2006/relationships/hyperlink" Target="http://www.rahul.net/lai/companion.htm" TargetMode="External"/><Relationship Id="rId37" Type="http://schemas.openxmlformats.org/officeDocument/2006/relationships/hyperlink" Target="http://kilgray.com/resource-center/trainin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pdf.tips/words-words-words-the-translator-and-the-language-learner.html" TargetMode="External"/><Relationship Id="rId23" Type="http://schemas.openxmlformats.org/officeDocument/2006/relationships/hyperlink" Target="https://epdf.tips/words-words-words-the-translator-and-the-language-learner.html" TargetMode="External"/><Relationship Id="rId28" Type="http://schemas.openxmlformats.org/officeDocument/2006/relationships/hyperlink" Target="http://npu.edu.ua/!e-book/book/djvu/A/iif_kgpm_Douglas%20Robinson.%20Becomming_a_Translator_.pdf" TargetMode="External"/><Relationship Id="rId36" Type="http://schemas.openxmlformats.org/officeDocument/2006/relationships/hyperlink" Target="http://kilgray.com/resource-center/training" TargetMode="External"/><Relationship Id="rId10" Type="http://schemas.openxmlformats.org/officeDocument/2006/relationships/hyperlink" Target="https://epdf.tips/words-words-words-the-translator-and-the-language-learner.html" TargetMode="External"/><Relationship Id="rId19" Type="http://schemas.openxmlformats.org/officeDocument/2006/relationships/hyperlink" Target="https://epdf.tips/words-words-words-the-translator-and-the-language-learner.html" TargetMode="External"/><Relationship Id="rId31" Type="http://schemas.openxmlformats.org/officeDocument/2006/relationships/hyperlink" Target="http://www.rahul.net/lai/compan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df.tips/words-words-words-the-translator-and-the-language-learner.html" TargetMode="External"/><Relationship Id="rId14" Type="http://schemas.openxmlformats.org/officeDocument/2006/relationships/hyperlink" Target="https://epdf.tips/words-words-words-the-translator-and-the-language-learner.html" TargetMode="External"/><Relationship Id="rId22" Type="http://schemas.openxmlformats.org/officeDocument/2006/relationships/hyperlink" Target="https://epdf.tips/words-words-words-the-translator-and-the-language-learner.html" TargetMode="External"/><Relationship Id="rId27" Type="http://schemas.openxmlformats.org/officeDocument/2006/relationships/hyperlink" Target="http://npu.edu.ua/!e-book/book/djvu/A/iif_kgpm_Douglas%20Robinson.%20Becomming_a_Translator_.pdf" TargetMode="External"/><Relationship Id="rId30" Type="http://schemas.openxmlformats.org/officeDocument/2006/relationships/hyperlink" Target="http://npu.edu.ua/!e-book/book/djvu/A/iif_kgpm_Douglas%20Robinson.%20Becomming_a_Translator_.pdf" TargetMode="External"/><Relationship Id="rId35" Type="http://schemas.openxmlformats.org/officeDocument/2006/relationships/hyperlink" Target="http://kilgray.com/resource-center/training" TargetMode="External"/><Relationship Id="rId8" Type="http://schemas.openxmlformats.org/officeDocument/2006/relationships/hyperlink" Target="https://epdf.tips/words-words-words-the-translator-and-the-language-learner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Andrea Albu-Balogh</cp:lastModifiedBy>
  <cp:revision>3</cp:revision>
  <dcterms:created xsi:type="dcterms:W3CDTF">2024-12-05T18:13:00Z</dcterms:created>
  <dcterms:modified xsi:type="dcterms:W3CDTF">2024-12-10T16:43:00Z</dcterms:modified>
</cp:coreProperties>
</file>