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74" w:rsidRDefault="005E47E1">
      <w:pPr>
        <w:spacing w:before="78" w:after="0" w:line="353" w:lineRule="auto"/>
        <w:ind w:left="3884" w:right="38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FIŞA DISCIPLINEI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</w:t>
      </w:r>
    </w:p>
    <w:p w:rsidR="003E5674" w:rsidRDefault="003E5674">
      <w:pPr>
        <w:spacing w:before="7" w:after="0" w:line="120" w:lineRule="auto"/>
        <w:rPr>
          <w:rFonts w:ascii="Times New Roman" w:hAnsi="Times New Roman" w:cs="Times New Roman"/>
        </w:rPr>
      </w:pPr>
    </w:p>
    <w:p w:rsidR="003E5674" w:rsidRDefault="003E5674">
      <w:pPr>
        <w:spacing w:after="0" w:line="200" w:lineRule="auto"/>
        <w:rPr>
          <w:rFonts w:ascii="Times New Roman" w:hAnsi="Times New Roman" w:cs="Times New Roman"/>
        </w:rPr>
      </w:pPr>
    </w:p>
    <w:p w:rsidR="003E5674" w:rsidRDefault="005E47E1">
      <w:pPr>
        <w:numPr>
          <w:ilvl w:val="0"/>
          <w:numId w:val="5"/>
        </w:numPr>
        <w:spacing w:before="29" w:after="0" w:line="271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despre program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</w:rPr>
      </w:pPr>
    </w:p>
    <w:tbl>
      <w:tblPr>
        <w:tblStyle w:val="a"/>
        <w:tblW w:w="102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825"/>
        <w:gridCol w:w="6465"/>
      </w:tblGrid>
      <w:tr w:rsidR="003E5674">
        <w:trPr>
          <w:trHeight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Creştină Partium</w:t>
            </w:r>
          </w:p>
        </w:tc>
      </w:tr>
      <w:tr w:rsidR="003E5674">
        <w:trPr>
          <w:trHeight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Facultatea de Litere și Arte</w:t>
            </w:r>
          </w:p>
        </w:tc>
      </w:tr>
      <w:tr w:rsidR="003E5674">
        <w:trPr>
          <w:trHeight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 Limbă şi literatură </w:t>
            </w:r>
          </w:p>
        </w:tc>
      </w:tr>
      <w:tr w:rsidR="003E5674">
        <w:trPr>
          <w:trHeight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Limbă şi literatură</w:t>
            </w:r>
          </w:p>
        </w:tc>
      </w:tr>
      <w:tr w:rsidR="003E5674">
        <w:trPr>
          <w:trHeight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Licenţă</w:t>
            </w:r>
          </w:p>
        </w:tc>
      </w:tr>
      <w:tr w:rsidR="003E5674">
        <w:trPr>
          <w:trHeight w:val="31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Programul de studii/Calificarea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şi literatura engleză // Licențiat în filologie</w:t>
            </w:r>
          </w:p>
        </w:tc>
      </w:tr>
    </w:tbl>
    <w:p w:rsidR="003E5674" w:rsidRDefault="003E5674">
      <w:pPr>
        <w:spacing w:before="11" w:after="0" w:line="240" w:lineRule="auto"/>
        <w:rPr>
          <w:rFonts w:ascii="Times New Roman" w:hAnsi="Times New Roman" w:cs="Times New Roman"/>
        </w:rPr>
      </w:pPr>
    </w:p>
    <w:p w:rsidR="003E5674" w:rsidRDefault="005E47E1">
      <w:pPr>
        <w:numPr>
          <w:ilvl w:val="0"/>
          <w:numId w:val="5"/>
        </w:numPr>
        <w:spacing w:before="29" w:after="0" w:line="271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despre disciplină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</w:rPr>
      </w:pPr>
    </w:p>
    <w:tbl>
      <w:tblPr>
        <w:tblStyle w:val="a0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828"/>
        <w:gridCol w:w="6362"/>
      </w:tblGrid>
      <w:tr w:rsidR="003E567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Denumirea disciplinei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Mituri si simboluri</w:t>
            </w:r>
          </w:p>
        </w:tc>
      </w:tr>
      <w:tr w:rsidR="003E567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Titularul activităţii de curs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Lect. Univ. dr. Veres Ottilia</w:t>
            </w:r>
          </w:p>
        </w:tc>
      </w:tr>
      <w:tr w:rsidR="003E5674">
        <w:trPr>
          <w:trHeight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Titularul activităţii de seminar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Lect. Univ. dr. Veres Ottilia</w:t>
            </w:r>
          </w:p>
        </w:tc>
      </w:tr>
      <w:tr w:rsidR="003E567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Anul de studiu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3E5674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Semestrul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567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 Tipul de evaluare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Verificare pe parcurs</w:t>
            </w:r>
          </w:p>
        </w:tc>
      </w:tr>
      <w:tr w:rsidR="003E567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 Regimul disciplinei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Disciplină opțională</w:t>
            </w:r>
          </w:p>
        </w:tc>
      </w:tr>
    </w:tbl>
    <w:p w:rsidR="003E5674" w:rsidRDefault="003E5674">
      <w:pPr>
        <w:spacing w:before="10" w:after="0" w:line="240" w:lineRule="auto"/>
        <w:rPr>
          <w:rFonts w:ascii="Times New Roman" w:hAnsi="Times New Roman" w:cs="Times New Roman"/>
        </w:rPr>
      </w:pPr>
    </w:p>
    <w:p w:rsidR="003E5674" w:rsidRDefault="005E47E1">
      <w:pPr>
        <w:numPr>
          <w:ilvl w:val="0"/>
          <w:numId w:val="5"/>
        </w:numPr>
        <w:spacing w:before="29" w:after="0" w:line="271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Timpul total estimat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</w:rPr>
      </w:pPr>
    </w:p>
    <w:tbl>
      <w:tblPr>
        <w:tblStyle w:val="a1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3E5674">
        <w:trPr>
          <w:trHeight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Număr de ore pe săptămână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 care3.2curs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seminar/laborator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74">
        <w:trPr>
          <w:trHeight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Total ore din planul de învăţământ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 care3.5curs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 seminar/laborator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E5674">
        <w:trPr>
          <w:trHeight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Distribuţia fondului de timp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Studiul după manual, support de curs, bibliografie şi notiţe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Documentare suplimentară în bibliotecă, pe platforme electronice de specialitate şi pe teren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Pregătire seminarii/laboratoare, teme, referate, portofolii şi eseuri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Tutoriat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Examinări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674">
        <w:trPr>
          <w:trHeight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 activităţi…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3.7 Total ore studiu individual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3.8 Total ore pesemestru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E5674">
        <w:trPr>
          <w:trHeight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3.9 Numărul de credite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E5674" w:rsidRDefault="003E5674">
      <w:pPr>
        <w:spacing w:before="5" w:after="0" w:line="240" w:lineRule="auto"/>
        <w:rPr>
          <w:rFonts w:ascii="Times New Roman" w:hAnsi="Times New Roman" w:cs="Times New Roman"/>
        </w:rPr>
      </w:pPr>
    </w:p>
    <w:p w:rsidR="003E5674" w:rsidRDefault="005E47E1">
      <w:pPr>
        <w:numPr>
          <w:ilvl w:val="0"/>
          <w:numId w:val="5"/>
        </w:numPr>
        <w:spacing w:before="29" w:after="0" w:line="271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Precondiţii</w:t>
      </w:r>
      <w:r>
        <w:rPr>
          <w:rFonts w:ascii="Times New Roman" w:hAnsi="Times New Roman" w:cs="Times New Roman"/>
        </w:rPr>
        <w:t>(acolo unde este cazul)</w:t>
      </w:r>
    </w:p>
    <w:p w:rsidR="003E5674" w:rsidRDefault="003E5674">
      <w:pPr>
        <w:spacing w:before="2" w:after="0" w:line="14" w:lineRule="auto"/>
        <w:rPr>
          <w:rFonts w:ascii="Times New Roman" w:hAnsi="Times New Roman" w:cs="Times New Roman"/>
        </w:rPr>
      </w:pPr>
    </w:p>
    <w:tbl>
      <w:tblPr>
        <w:tblStyle w:val="a2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093"/>
        <w:gridCol w:w="8097"/>
      </w:tblGrid>
      <w:tr w:rsidR="003E5674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de curriculum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3E5674">
            <w:pPr>
              <w:rPr>
                <w:rFonts w:ascii="Times New Roman" w:hAnsi="Times New Roman" w:cs="Times New Roman"/>
              </w:rPr>
            </w:pPr>
          </w:p>
        </w:tc>
      </w:tr>
      <w:tr w:rsidR="003E5674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de competenţe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Cunoaşterea limbii engleze la nivel avansat</w:t>
            </w:r>
          </w:p>
        </w:tc>
      </w:tr>
    </w:tbl>
    <w:p w:rsidR="003E5674" w:rsidRDefault="003E5674">
      <w:pPr>
        <w:spacing w:before="18" w:after="0" w:line="220" w:lineRule="auto"/>
        <w:rPr>
          <w:rFonts w:ascii="Times New Roman" w:hAnsi="Times New Roman" w:cs="Times New Roman"/>
        </w:rPr>
      </w:pPr>
    </w:p>
    <w:p w:rsidR="003E5674" w:rsidRDefault="005E47E1">
      <w:pPr>
        <w:numPr>
          <w:ilvl w:val="0"/>
          <w:numId w:val="1"/>
        </w:numPr>
        <w:spacing w:before="29" w:after="0" w:line="271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Condiţii </w:t>
      </w:r>
      <w:r>
        <w:rPr>
          <w:rFonts w:ascii="Times New Roman" w:hAnsi="Times New Roman" w:cs="Times New Roman"/>
        </w:rPr>
        <w:t>(acolo unde este cazul)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</w:rPr>
      </w:pPr>
    </w:p>
    <w:p w:rsidR="003E5674" w:rsidRDefault="003E5674">
      <w:pPr>
        <w:spacing w:before="2" w:after="0" w:line="14" w:lineRule="auto"/>
        <w:rPr>
          <w:rFonts w:ascii="Times New Roman" w:hAnsi="Times New Roman" w:cs="Times New Roman"/>
        </w:rPr>
      </w:pPr>
    </w:p>
    <w:tbl>
      <w:tblPr>
        <w:tblStyle w:val="a3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28"/>
        <w:gridCol w:w="5262"/>
      </w:tblGrid>
      <w:tr w:rsidR="003E5674">
        <w:trPr>
          <w:trHeight w:val="7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 de desfăşurare a cursului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Sală de curs, dotată cu laptop, videoproiector, legătură la Internet, software adecvat</w:t>
            </w:r>
          </w:p>
        </w:tc>
      </w:tr>
      <w:tr w:rsidR="003E5674">
        <w:trPr>
          <w:trHeight w:val="63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de desfăşurare a seminarului/laboratorului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Sală de curs, dotată cu laptop, videoproiector, legătură la Internet, software adecvat</w:t>
            </w:r>
          </w:p>
        </w:tc>
      </w:tr>
    </w:tbl>
    <w:p w:rsidR="003E5674" w:rsidRDefault="003E5674">
      <w:pPr>
        <w:spacing w:before="12" w:after="0" w:line="280" w:lineRule="auto"/>
        <w:rPr>
          <w:rFonts w:ascii="Times New Roman" w:hAnsi="Times New Roman" w:cs="Times New Roman"/>
        </w:rPr>
      </w:pPr>
    </w:p>
    <w:p w:rsidR="003E5674" w:rsidRDefault="005E47E1">
      <w:pPr>
        <w:spacing w:before="44"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>
        <w:rPr>
          <w:rFonts w:ascii="Times New Roman" w:hAnsi="Times New Roman" w:cs="Times New Roman"/>
        </w:rPr>
        <w:t>Cf.M.Of.al României, Partea I, Nr.800bis/13.XII.2011,Ordinul ministrului nr.5703 din18 oct.2011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-25399</wp:posOffset>
                </wp:positionV>
                <wp:extent cx="1828800" cy="127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4431600" y="3774600"/>
                          <a:chExt cx="1828800" cy="9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31600" y="3779365"/>
                            <a:ext cx="1828800" cy="1270"/>
                            <a:chOff x="1133" y="-41"/>
                            <a:chExt cx="2880" cy="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133" y="-41"/>
                              <a:ext cx="2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5674" w:rsidRDefault="003E567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1133" y="-41"/>
                              <a:ext cx="28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80" h="2" extrusionOk="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-25399</wp:posOffset>
                </wp:positionV>
                <wp:extent cx="1828800" cy="127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5674" w:rsidRDefault="003E5674">
      <w:pPr>
        <w:spacing w:before="29" w:after="0" w:line="271" w:lineRule="auto"/>
        <w:ind w:left="573" w:right="-20"/>
        <w:rPr>
          <w:rFonts w:ascii="Times New Roman" w:hAnsi="Times New Roman" w:cs="Times New Roman"/>
          <w:b/>
        </w:rPr>
      </w:pPr>
    </w:p>
    <w:p w:rsidR="003E5674" w:rsidRDefault="005E47E1">
      <w:pPr>
        <w:numPr>
          <w:ilvl w:val="0"/>
          <w:numId w:val="1"/>
        </w:numPr>
        <w:spacing w:before="29" w:after="0" w:line="271" w:lineRule="auto"/>
        <w:ind w:right="-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Competenţe specifice acumulate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</w:rPr>
      </w:pPr>
    </w:p>
    <w:tbl>
      <w:tblPr>
        <w:tblStyle w:val="a4"/>
        <w:tblW w:w="1027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539"/>
        <w:gridCol w:w="8731"/>
      </w:tblGrid>
      <w:tr w:rsidR="003E5674">
        <w:trPr>
          <w:trHeight w:val="328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9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Prezentarea sintetică şi analitică, estetică şi culturală a fenomenului literar cinematografic și a culturii populare</w:t>
            </w:r>
          </w:p>
          <w:p w:rsidR="003E5674" w:rsidRDefault="005E4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Descrierea şi exemplificarea evoluţiei literaturilor cinematografiei străine </w:t>
            </w:r>
          </w:p>
          <w:p w:rsidR="003E5674" w:rsidRDefault="005E4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Relaționarea textelor și contextelor diverse, operarea cu tehnicile de analiză textuală (vizuală). Abordarea din diverse perspective interpretative a unui text literar precum și aplicarea conceptelor și metodelor etnologiei și antropologiei culturale în investigarea fenomenelor de cultură populară.</w:t>
            </w:r>
          </w:p>
          <w:p w:rsidR="003E5674" w:rsidRDefault="005E47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Interpretarea şi evaluarea critică a fenomenelor literare cinematografice în contexte diferite</w:t>
            </w:r>
          </w:p>
        </w:tc>
      </w:tr>
      <w:tr w:rsidR="003E5674">
        <w:trPr>
          <w:trHeight w:val="1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transversale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Utilizarea componentelor domeniului limbii şi literaturii în deplină concordanţă cu etica profesională</w:t>
            </w:r>
          </w:p>
          <w:p w:rsidR="003E5674" w:rsidRDefault="005E4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Relaţionarea în echipă; comunicarea interpersonală şi asumarea de roluri specific</w:t>
            </w:r>
          </w:p>
          <w:p w:rsidR="003E5674" w:rsidRDefault="005E47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Organizarea unui proiect individual de formare continuă; îndeplinirea obiectivelor de formare prin activităţi de informare, prin proiecte în echipă şi prin participarea la programe instituţionale de dezvoltare personală şi profesională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E5674" w:rsidRDefault="003E5674">
      <w:pPr>
        <w:spacing w:before="5" w:after="0" w:line="240" w:lineRule="auto"/>
        <w:rPr>
          <w:rFonts w:ascii="Times New Roman" w:hAnsi="Times New Roman" w:cs="Times New Roman"/>
        </w:rPr>
      </w:pPr>
    </w:p>
    <w:p w:rsidR="003E5674" w:rsidRDefault="005E47E1">
      <w:pPr>
        <w:spacing w:before="29" w:after="0" w:line="271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Obiectivele disciplinei </w:t>
      </w:r>
      <w:r>
        <w:rPr>
          <w:rFonts w:ascii="Times New Roman" w:hAnsi="Times New Roman" w:cs="Times New Roman"/>
          <w:sz w:val="24"/>
          <w:szCs w:val="24"/>
        </w:rPr>
        <w:t>(reieşind din grila competenţelor specifice accumulate)</w:t>
      </w:r>
    </w:p>
    <w:p w:rsidR="003E5674" w:rsidRDefault="003E5674">
      <w:pPr>
        <w:spacing w:before="2" w:after="0" w:line="1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418"/>
        <w:gridCol w:w="8772"/>
      </w:tblGrid>
      <w:tr w:rsidR="003E5674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Obiectivul general al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Dobândirea unor cunoştinţe fundamentale de film şi a unor deprinderi de lectură şi interpretare.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Îmbunătăţirea capacităţilor de a opera cu noţiuni teoretice şi de a le aplica la analiza fenomenelor cinematografice</w:t>
            </w:r>
          </w:p>
        </w:tc>
      </w:tr>
      <w:tr w:rsidR="003E5674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 Obiectivele specifice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familiarizarea cu structura narativă a filmului britanic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cunoașterea și analiza operei cinematografice a unor regizori recunoscuți din spaţiul anglo-saxon, specific Marea Britanie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cunoașterea unor perioade semnificative în istoria filmului din spaţiul anglo-saxon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familiarizarea cu filme din spaţiul anglo-saxon din afara Statelor Unite ale Americii </w:t>
            </w:r>
          </w:p>
        </w:tc>
      </w:tr>
    </w:tbl>
    <w:p w:rsidR="003E5674" w:rsidRDefault="003E5674">
      <w:pPr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674" w:rsidRDefault="005E47E1">
      <w:pPr>
        <w:spacing w:before="29"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Conţinuturi</w:t>
      </w:r>
    </w:p>
    <w:p w:rsidR="003E5674" w:rsidRDefault="003E5674">
      <w:pPr>
        <w:spacing w:before="2" w:after="0" w:line="90" w:lineRule="auto"/>
        <w:rPr>
          <w:rFonts w:ascii="Times New Roman" w:hAnsi="Times New Roman" w:cs="Times New Roman"/>
        </w:rPr>
      </w:pPr>
    </w:p>
    <w:p w:rsidR="003E5674" w:rsidRDefault="003E5674">
      <w:pPr>
        <w:spacing w:before="14" w:after="0" w:line="260" w:lineRule="auto"/>
        <w:rPr>
          <w:rFonts w:ascii="Times New Roman" w:hAnsi="Times New Roman" w:cs="Times New Roman"/>
        </w:rPr>
      </w:pPr>
    </w:p>
    <w:tbl>
      <w:tblPr>
        <w:tblStyle w:val="a6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3E5674">
        <w:trPr>
          <w:trHeight w:val="42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8.1. Curs și seminar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5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Metode de predare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2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Observaţii</w:t>
            </w:r>
          </w:p>
        </w:tc>
      </w:tr>
      <w:tr w:rsidR="003E5674">
        <w:trPr>
          <w:trHeight w:val="11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1: Orientation</w:t>
            </w:r>
          </w:p>
          <w:p w:rsidR="003E5674" w:rsidRDefault="003E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tabs>
                <w:tab w:val="left" w:pos="820"/>
              </w:tabs>
              <w:spacing w:before="4"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8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Trainspotting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(1996, d. Danny Boyle)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</w:p>
        </w:tc>
      </w:tr>
      <w:tr w:rsidR="003E5674">
        <w:trPr>
          <w:trHeight w:val="8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Broken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(2012, d. Rufus Norris)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5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This is England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(2006, d. Shane Meadows)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5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Fish Tank (2009, d. Andrea Arnold)</w:t>
            </w:r>
          </w:p>
          <w:p w:rsidR="003E5674" w:rsidRDefault="003E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6: Submarine (2010, d. Richard Ayoade)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</w:p>
        </w:tc>
      </w:tr>
      <w:tr w:rsidR="003E5674">
        <w:trPr>
          <w:trHeight w:val="8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7: Midterm paper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60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8: The End of the Fxxxing World (2017-2018, d. </w:t>
            </w:r>
            <w:hyperlink r:id="rId8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Jonathan Entwistle</w:t>
              </w:r>
            </w:hyperlink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Lucy Tcherniak, Destiny Ekaragha, Lucy Forbes), Season 1.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70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9: The End of the Fxxxing World (2017-2018, d. </w:t>
            </w:r>
            <w:hyperlink r:id="rId9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Jonathan Entwistle</w:t>
              </w:r>
            </w:hyperlink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Lucy Tcherniak, Destiny Ekaragha, Lucy Forbes), Season 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89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10: Bronson (2008, d. Nicolas Winding Refn)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</w:p>
        </w:tc>
      </w:tr>
      <w:tr w:rsidR="003E5674">
        <w:trPr>
          <w:trHeight w:val="69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11: Snatch (2000, d. Guy Ritchie)</w:t>
            </w:r>
          </w:p>
          <w:p w:rsidR="003E5674" w:rsidRDefault="003E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</w:t>
            </w:r>
          </w:p>
        </w:tc>
      </w:tr>
      <w:tr w:rsidR="003E5674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12: Peaky Blinders (2013, d. Steven Knight), Season 1.</w:t>
            </w:r>
          </w:p>
          <w:p w:rsidR="003E5674" w:rsidRDefault="003E5674">
            <w:pPr>
              <w:spacing w:after="135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prezentare powerpoint, dezbateri pe text, discuţii interactive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57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13: Evaluation, Endterm</w:t>
            </w:r>
          </w:p>
          <w:p w:rsidR="003E5674" w:rsidRDefault="003E5674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5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Testare,</w:t>
            </w:r>
          </w:p>
          <w:p w:rsidR="003E5674" w:rsidRDefault="003E5674">
            <w:pPr>
              <w:spacing w:after="0" w:line="272" w:lineRule="auto"/>
              <w:ind w:left="105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2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92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14: Roundup</w:t>
            </w:r>
          </w:p>
          <w:p w:rsidR="003E5674" w:rsidRDefault="003E5674">
            <w:pPr>
              <w:spacing w:after="0" w:line="272" w:lineRule="auto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5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spacing w:after="0" w:line="272" w:lineRule="auto"/>
              <w:ind w:left="102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</w:tr>
      <w:tr w:rsidR="003E5674">
        <w:trPr>
          <w:trHeight w:val="61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74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Bibliografie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Boggs, Joseph. The Art of Watching Films. McGraw-Hill, 2004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Bökös, Borbála ed. Studies in Intermediality and Literature. Oradea: Partium, 2018.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Fuery, Patrick. New Developments in Film Theory. London, MacMillan, 2000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Gaudreault, Andre. From Plato to Lumiere: Narration and Monstration in Literature and Cinema. Toronto: University of Toronto Press, 2009.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Guynn, William. Writing History in Film. Abingdon: Routledge, 2006.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Hauge, Michael. Writing screenplays that sell. Methuen Drama, 2011.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Hill, Sarah. Young Women, Girls and Postfeminism in Contemporary British Film. London: Bloomsbury Academic, 2020.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Kramer, Peter. 2001: A Space Oddyssey. British Film Institute BFI Film Classics Series. London: Bloomsbury, 2010.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Lacey, Nick. Introduction to Film. Palgrave Macmillan, 2005.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Lapsley, Robert; Westlake, Michael. Film Theory: An Introduction. NY, Manchester University Press, 2006.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McCarthy, Soren. Cult Movies in Sixty Seconds. Faber and Faber, 2003.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Naremore, James. Film Adaptation. New Brunswick: Rutgers University Press, 2000.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Rees, A. L. A History of Experimental Film and Video: From the Canonical Avant-Garde to Contemporary British Practice. British Film Institute BFI Film Classics Series. London: Bloomsbury, 2011.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Rothman, William. The ”I” of the Camera. Cambridge: CUP, 2004.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Ruby, Jay. Picturing Culture. Chicago Press, 2000.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Shail, Robert. British Film Directors A Critical Guide. Edinburgh: Edinburgh UP, 2007. 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Smith, Murray. Trainspotting. British Film Institute BFI Film Classics Series. London: Bloomsbury, 2021.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Thompson, Kristin. Storytelling in film and television, Harvard University Press, 2003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.</w:t>
            </w:r>
          </w:p>
          <w:p w:rsidR="003E5674" w:rsidRDefault="005E47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Wood, Jason, and Ian Haydn Smith. New British Cinema from Submarine to 12 Years a Slave. The Resurgence of British Film-making. London: Faber &amp; Faber, 2015. </w:t>
            </w:r>
          </w:p>
          <w:p w:rsidR="003E5674" w:rsidRDefault="003E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333333"/>
              </w:rPr>
            </w:pPr>
          </w:p>
        </w:tc>
      </w:tr>
    </w:tbl>
    <w:p w:rsidR="003E5674" w:rsidRDefault="003E5674">
      <w:pPr>
        <w:spacing w:before="69" w:after="0" w:line="241" w:lineRule="auto"/>
        <w:ind w:right="326"/>
        <w:rPr>
          <w:rFonts w:ascii="Times New Roman" w:hAnsi="Times New Roman" w:cs="Times New Roman"/>
          <w:b/>
        </w:rPr>
      </w:pPr>
    </w:p>
    <w:p w:rsidR="003E5674" w:rsidRDefault="005E47E1">
      <w:pPr>
        <w:spacing w:before="69" w:after="0" w:line="241" w:lineRule="auto"/>
        <w:ind w:right="3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Coroborarea conţinuturilor disciplinei cu aşteptările reprezentanţilor comunităţii epistemice, asociaţilor profesionale şi angajatori reprezentativi din domeniul aferent programului</w:t>
      </w:r>
    </w:p>
    <w:tbl>
      <w:tblPr>
        <w:tblStyle w:val="a7"/>
        <w:tblW w:w="105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0"/>
      </w:tblGrid>
      <w:tr w:rsidR="003E5674">
        <w:tc>
          <w:tcPr>
            <w:tcW w:w="10540" w:type="dxa"/>
          </w:tcPr>
          <w:p w:rsidR="003E5674" w:rsidRDefault="005E47E1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Conţinutul disciplinei este în concordanţă cu ceea ce se face în alte centre universitare din ţară şi din străinătate</w:t>
            </w:r>
          </w:p>
        </w:tc>
      </w:tr>
    </w:tbl>
    <w:p w:rsidR="003E5674" w:rsidRDefault="003E5674">
      <w:pPr>
        <w:spacing w:after="0" w:line="260" w:lineRule="auto"/>
        <w:rPr>
          <w:rFonts w:ascii="Times New Roman" w:hAnsi="Times New Roman" w:cs="Times New Roman"/>
        </w:rPr>
      </w:pPr>
    </w:p>
    <w:p w:rsidR="003E5674" w:rsidRDefault="005E47E1">
      <w:pPr>
        <w:spacing w:before="29" w:after="0" w:line="271" w:lineRule="auto"/>
        <w:ind w:left="213"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Evaluare</w:t>
      </w:r>
    </w:p>
    <w:p w:rsidR="003E5674" w:rsidRDefault="003E5674">
      <w:pPr>
        <w:spacing w:before="29" w:after="0" w:line="271" w:lineRule="auto"/>
        <w:ind w:left="213" w:right="-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1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3E5674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 Criterii de</w:t>
            </w:r>
          </w:p>
          <w:p w:rsidR="003E5674" w:rsidRDefault="005E47E1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Pondere din nota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finală</w:t>
            </w:r>
          </w:p>
        </w:tc>
      </w:tr>
      <w:tr w:rsidR="003E5674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Capacitatea de inţelegere a terminologiei literare-cinematografice specifice de aplicare a acesteia în analiza textelor cinematografice </w:t>
            </w:r>
          </w:p>
          <w:p w:rsidR="003E5674" w:rsidRDefault="003E5674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Colocviu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3E5674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 Seminar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Capacitatea de aplicare practică a  noţiunilor dezbătute la curs. </w:t>
            </w:r>
          </w:p>
          <w:p w:rsidR="003E5674" w:rsidRDefault="005E47E1">
            <w:pPr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Relevanţa prezentărilor</w:t>
            </w:r>
          </w:p>
          <w:p w:rsidR="003E5674" w:rsidRDefault="003E5674">
            <w:pPr>
              <w:spacing w:after="0" w:line="239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Mid-term test</w:t>
            </w:r>
          </w:p>
          <w:p w:rsidR="003E5674" w:rsidRDefault="005E47E1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Participare activă la seminarii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67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E5674">
        <w:trPr>
          <w:trHeight w:val="578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8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 Standard minim de performanţă</w:t>
            </w:r>
          </w:p>
          <w:p w:rsidR="003E5674" w:rsidRDefault="003E5674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74">
        <w:trPr>
          <w:trHeight w:val="2970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Realizarea analizei unui text literar de complexitate medie în limba străină (engleză), utilizând concepte și termeni de bază din teoria literară și sintetizând literatura secundară.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Cunoașterea elementelor fundamentale de teorie, prezentarea curentelor/conceptelor majore, folosirea adecvată a terminologiei, aplicarea cunoștințelor teoretice pe parcursul analizelor literare.</w:t>
            </w:r>
          </w:p>
          <w:p w:rsidR="003E5674" w:rsidRDefault="005E47E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 Susținerea examenului scris din partea de curs este posibilă numai dacă studentul a obținut nota de trecere minimă (5-cinci) la partea de seminar.</w:t>
            </w:r>
          </w:p>
          <w:p w:rsidR="003E5674" w:rsidRDefault="005E47E1">
            <w:pPr>
              <w:spacing w:after="0" w:line="284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 de trecere la partea de seminar se poate obține numai dacă la partea de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 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studentul a acumulat un procent de minim 30% (indiferent de procentul obținut la testele midterm sau endterm).</w:t>
            </w:r>
          </w:p>
        </w:tc>
      </w:tr>
    </w:tbl>
    <w:p w:rsidR="003E5674" w:rsidRDefault="003E5674">
      <w:pPr>
        <w:spacing w:before="5" w:after="0" w:line="2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99" w:type="dxa"/>
        <w:tblLayout w:type="fixed"/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3E5674" w:rsidTr="005E47E1">
        <w:trPr>
          <w:trHeight w:val="477"/>
        </w:trPr>
        <w:tc>
          <w:tcPr>
            <w:tcW w:w="2370" w:type="dxa"/>
          </w:tcPr>
          <w:p w:rsidR="003E5674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completării</w:t>
            </w:r>
          </w:p>
        </w:tc>
        <w:tc>
          <w:tcPr>
            <w:tcW w:w="4054" w:type="dxa"/>
          </w:tcPr>
          <w:p w:rsidR="003E5674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Semnătura titularului de curs</w:t>
            </w:r>
          </w:p>
        </w:tc>
        <w:tc>
          <w:tcPr>
            <w:tcW w:w="3775" w:type="dxa"/>
          </w:tcPr>
          <w:p w:rsidR="003E5674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Semnătura titularului de seminar</w:t>
            </w:r>
          </w:p>
          <w:p w:rsidR="003E5674" w:rsidRDefault="003E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674" w:rsidTr="005E47E1">
        <w:trPr>
          <w:trHeight w:val="769"/>
        </w:trPr>
        <w:tc>
          <w:tcPr>
            <w:tcW w:w="2370" w:type="dxa"/>
          </w:tcPr>
          <w:p w:rsidR="003E5674" w:rsidRDefault="0056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3E5674" w:rsidRDefault="003E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4" w:type="dxa"/>
          </w:tcPr>
          <w:p w:rsidR="005E47E1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Lect. dr. Veres Ottilia</w:t>
            </w:r>
          </w:p>
          <w:p w:rsidR="003E5674" w:rsidRDefault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B8A488C" wp14:editId="130E053E">
                  <wp:extent cx="1164336" cy="411480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5E47E1" w:rsidRDefault="005E47E1" w:rsidP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Lect. dr. Veres Ottilia</w:t>
            </w:r>
          </w:p>
          <w:p w:rsidR="003E5674" w:rsidRDefault="005E47E1" w:rsidP="005E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B972877" wp14:editId="00F83B7F">
                  <wp:extent cx="1164336" cy="411480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3E5674" w:rsidRDefault="005E47E1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Data avizării în departament</w:t>
      </w:r>
      <w:r>
        <w:rPr>
          <w:rFonts w:ascii="Times New Roman" w:hAnsi="Times New Roman" w:cs="Times New Roman"/>
          <w:sz w:val="24"/>
          <w:szCs w:val="24"/>
        </w:rPr>
        <w:tab/>
        <w:t>Semnătura directorului de departament</w:t>
      </w:r>
    </w:p>
    <w:p w:rsidR="003E5674" w:rsidRDefault="003E5674">
      <w:pPr>
        <w:spacing w:before="16" w:after="0" w:line="260" w:lineRule="auto"/>
        <w:rPr>
          <w:rFonts w:ascii="Times New Roman" w:hAnsi="Times New Roman" w:cs="Times New Roman"/>
          <w:sz w:val="26"/>
          <w:szCs w:val="26"/>
        </w:rPr>
      </w:pPr>
    </w:p>
    <w:p w:rsidR="003E5674" w:rsidRDefault="005605DA" w:rsidP="005E47E1">
      <w:pPr>
        <w:tabs>
          <w:tab w:val="left" w:pos="6237"/>
        </w:tabs>
        <w:spacing w:after="0" w:line="240" w:lineRule="auto"/>
        <w:ind w:left="2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.09.2024</w:t>
      </w:r>
      <w:r w:rsidR="005E47E1">
        <w:rPr>
          <w:rFonts w:ascii="Times New Roman" w:hAnsi="Times New Roman" w:cs="Times New Roman"/>
          <w:sz w:val="24"/>
          <w:szCs w:val="24"/>
        </w:rPr>
        <w:tab/>
      </w:r>
      <w:r w:rsidR="005E47E1">
        <w:rPr>
          <w:rFonts w:ascii="Times New Roman" w:hAnsi="Times New Roman" w:cs="Times New Roman"/>
          <w:sz w:val="24"/>
          <w:szCs w:val="24"/>
        </w:rPr>
        <w:tab/>
        <w:t>Lect. dr. Antal-Fórizs Ioan James</w:t>
      </w:r>
    </w:p>
    <w:p w:rsidR="003E5674" w:rsidRDefault="003E5674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</w:rPr>
      </w:pPr>
    </w:p>
    <w:p w:rsidR="003E5674" w:rsidRDefault="003E5674"/>
    <w:sectPr w:rsidR="003E5674">
      <w:pgSz w:w="12240" w:h="15840"/>
      <w:pgMar w:top="1060" w:right="920" w:bottom="280" w:left="9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740"/>
    <w:multiLevelType w:val="multilevel"/>
    <w:tmpl w:val="5D1E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EF02F4"/>
    <w:multiLevelType w:val="multilevel"/>
    <w:tmpl w:val="EB2EDEEE"/>
    <w:lvl w:ilvl="0">
      <w:start w:val="1"/>
      <w:numFmt w:val="decimal"/>
      <w:lvlText w:val="%1."/>
      <w:lvlJc w:val="left"/>
      <w:pPr>
        <w:ind w:left="573" w:hanging="360"/>
      </w:pPr>
    </w:lvl>
    <w:lvl w:ilvl="1">
      <w:start w:val="1"/>
      <w:numFmt w:val="lowerLetter"/>
      <w:lvlText w:val="%2."/>
      <w:lvlJc w:val="left"/>
      <w:pPr>
        <w:ind w:left="1293" w:hanging="359"/>
      </w:pPr>
    </w:lvl>
    <w:lvl w:ilvl="2">
      <w:start w:val="1"/>
      <w:numFmt w:val="lowerRoman"/>
      <w:lvlText w:val="%3."/>
      <w:lvlJc w:val="right"/>
      <w:pPr>
        <w:ind w:left="2013" w:hanging="180"/>
      </w:pPr>
    </w:lvl>
    <w:lvl w:ilvl="3">
      <w:start w:val="1"/>
      <w:numFmt w:val="decimal"/>
      <w:lvlText w:val="%4."/>
      <w:lvlJc w:val="left"/>
      <w:pPr>
        <w:ind w:left="2733" w:hanging="360"/>
      </w:pPr>
    </w:lvl>
    <w:lvl w:ilvl="4">
      <w:start w:val="1"/>
      <w:numFmt w:val="lowerLetter"/>
      <w:lvlText w:val="%5."/>
      <w:lvlJc w:val="left"/>
      <w:pPr>
        <w:ind w:left="3453" w:hanging="360"/>
      </w:pPr>
    </w:lvl>
    <w:lvl w:ilvl="5">
      <w:start w:val="1"/>
      <w:numFmt w:val="lowerRoman"/>
      <w:lvlText w:val="%6."/>
      <w:lvlJc w:val="right"/>
      <w:pPr>
        <w:ind w:left="4173" w:hanging="180"/>
      </w:pPr>
    </w:lvl>
    <w:lvl w:ilvl="6">
      <w:start w:val="1"/>
      <w:numFmt w:val="decimal"/>
      <w:lvlText w:val="%7."/>
      <w:lvlJc w:val="left"/>
      <w:pPr>
        <w:ind w:left="4893" w:hanging="360"/>
      </w:pPr>
    </w:lvl>
    <w:lvl w:ilvl="7">
      <w:start w:val="1"/>
      <w:numFmt w:val="lowerLetter"/>
      <w:lvlText w:val="%8."/>
      <w:lvlJc w:val="left"/>
      <w:pPr>
        <w:ind w:left="5613" w:hanging="360"/>
      </w:pPr>
    </w:lvl>
    <w:lvl w:ilvl="8">
      <w:start w:val="1"/>
      <w:numFmt w:val="lowerRoman"/>
      <w:lvlText w:val="%9."/>
      <w:lvlJc w:val="right"/>
      <w:pPr>
        <w:ind w:left="6333" w:hanging="180"/>
      </w:pPr>
    </w:lvl>
  </w:abstractNum>
  <w:abstractNum w:abstractNumId="2" w15:restartNumberingAfterBreak="0">
    <w:nsid w:val="399968C2"/>
    <w:multiLevelType w:val="multilevel"/>
    <w:tmpl w:val="351CD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BB077D"/>
    <w:multiLevelType w:val="multilevel"/>
    <w:tmpl w:val="D5A6C408"/>
    <w:lvl w:ilvl="0">
      <w:start w:val="1"/>
      <w:numFmt w:val="decimal"/>
      <w:lvlText w:val="%1."/>
      <w:lvlJc w:val="left"/>
      <w:pPr>
        <w:ind w:left="573" w:hanging="360"/>
      </w:pPr>
    </w:lvl>
    <w:lvl w:ilvl="1">
      <w:start w:val="1"/>
      <w:numFmt w:val="lowerLetter"/>
      <w:lvlText w:val="%2."/>
      <w:lvlJc w:val="left"/>
      <w:pPr>
        <w:ind w:left="1293" w:hanging="359"/>
      </w:pPr>
    </w:lvl>
    <w:lvl w:ilvl="2">
      <w:start w:val="1"/>
      <w:numFmt w:val="lowerRoman"/>
      <w:lvlText w:val="%3."/>
      <w:lvlJc w:val="right"/>
      <w:pPr>
        <w:ind w:left="2013" w:hanging="180"/>
      </w:pPr>
    </w:lvl>
    <w:lvl w:ilvl="3">
      <w:start w:val="1"/>
      <w:numFmt w:val="decimal"/>
      <w:lvlText w:val="%4."/>
      <w:lvlJc w:val="left"/>
      <w:pPr>
        <w:ind w:left="2733" w:hanging="360"/>
      </w:pPr>
    </w:lvl>
    <w:lvl w:ilvl="4">
      <w:start w:val="1"/>
      <w:numFmt w:val="lowerLetter"/>
      <w:lvlText w:val="%5."/>
      <w:lvlJc w:val="left"/>
      <w:pPr>
        <w:ind w:left="3453" w:hanging="360"/>
      </w:pPr>
    </w:lvl>
    <w:lvl w:ilvl="5">
      <w:start w:val="1"/>
      <w:numFmt w:val="lowerRoman"/>
      <w:lvlText w:val="%6."/>
      <w:lvlJc w:val="right"/>
      <w:pPr>
        <w:ind w:left="4173" w:hanging="180"/>
      </w:pPr>
    </w:lvl>
    <w:lvl w:ilvl="6">
      <w:start w:val="1"/>
      <w:numFmt w:val="decimal"/>
      <w:lvlText w:val="%7."/>
      <w:lvlJc w:val="left"/>
      <w:pPr>
        <w:ind w:left="4893" w:hanging="360"/>
      </w:pPr>
    </w:lvl>
    <w:lvl w:ilvl="7">
      <w:start w:val="1"/>
      <w:numFmt w:val="lowerLetter"/>
      <w:lvlText w:val="%8."/>
      <w:lvlJc w:val="left"/>
      <w:pPr>
        <w:ind w:left="5613" w:hanging="360"/>
      </w:pPr>
    </w:lvl>
    <w:lvl w:ilvl="8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79020A92"/>
    <w:multiLevelType w:val="multilevel"/>
    <w:tmpl w:val="8DD81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74"/>
    <w:rsid w:val="003E5674"/>
    <w:rsid w:val="005605DA"/>
    <w:rsid w:val="005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7CEB"/>
  <w15:docId w15:val="{9AD65BCC-6A10-460F-AC12-729DC49C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72"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44972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4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l1">
    <w:name w:val="Normál1"/>
    <w:rsid w:val="00F4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istParagraph">
    <w:name w:val="List Paragraph"/>
    <w:basedOn w:val="Normal"/>
    <w:uiPriority w:val="34"/>
    <w:qFormat/>
    <w:rsid w:val="00F44972"/>
    <w:pPr>
      <w:ind w:left="720"/>
      <w:contextualSpacing/>
    </w:pPr>
  </w:style>
  <w:style w:type="character" w:styleId="Hyperlink">
    <w:name w:val="Hyperlink"/>
    <w:uiPriority w:val="99"/>
    <w:unhideWhenUsed/>
    <w:rsid w:val="00F44972"/>
    <w:rPr>
      <w:color w:val="0000FF"/>
      <w:u w:val="single"/>
    </w:rPr>
  </w:style>
  <w:style w:type="character" w:customStyle="1" w:styleId="fn">
    <w:name w:val="fn"/>
    <w:basedOn w:val="DefaultParagraphFont"/>
    <w:rsid w:val="00F44972"/>
  </w:style>
  <w:style w:type="character" w:customStyle="1" w:styleId="Subtitle1">
    <w:name w:val="Subtitle1"/>
    <w:basedOn w:val="DefaultParagraphFont"/>
    <w:rsid w:val="00F44972"/>
  </w:style>
  <w:style w:type="paragraph" w:styleId="NoSpacing">
    <w:name w:val="No Spacing"/>
    <w:uiPriority w:val="1"/>
    <w:qFormat/>
    <w:rsid w:val="00F44972"/>
    <w:pPr>
      <w:spacing w:after="0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F449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7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3536642/?ref_=ttfc_fc_dr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imdb.com/name/nm3536642/?ref_=ttfc_fc_dr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xX6huSUf7cOBsDrDmVlKtI63Q==">CgMxLjAyCGguZ2pkZ3hzOAByITFGSVhYRW9qUDhBV2FmWkpGVDFxajd6OFpqNTJ1MnJ2bQ==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</dc:creator>
  <cp:lastModifiedBy>Andrea Albu-Balogh</cp:lastModifiedBy>
  <cp:revision>3</cp:revision>
  <dcterms:created xsi:type="dcterms:W3CDTF">2022-10-10T06:07:00Z</dcterms:created>
  <dcterms:modified xsi:type="dcterms:W3CDTF">2024-12-10T16:50:00Z</dcterms:modified>
</cp:coreProperties>
</file>