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Universitatea Cre</w:t>
      </w:r>
      <w:r w:rsidDel="00000000" w:rsidR="00000000" w:rsidRPr="00000000">
        <w:rPr>
          <w:b w:val="1"/>
          <w:rtl w:val="0"/>
        </w:rPr>
        <w:t xml:space="preserve">ștină Partium</w:t>
      </w:r>
    </w:p>
    <w:p w:rsidR="00000000" w:rsidDel="00000000" w:rsidP="00000000" w:rsidRDefault="00000000" w:rsidRPr="00000000" w14:paraId="00000002">
      <w:pPr>
        <w:rPr>
          <w:b w:val="1"/>
        </w:rPr>
      </w:pPr>
      <w:r w:rsidDel="00000000" w:rsidR="00000000" w:rsidRPr="00000000">
        <w:rPr>
          <w:b w:val="1"/>
          <w:rtl w:val="0"/>
        </w:rPr>
        <w:t xml:space="preserve">Centrul de Cercetări Muzicale (C.C.M.)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spacing w:after="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PLAN STRATEGIC</w:t>
      </w:r>
    </w:p>
    <w:p w:rsidR="00000000" w:rsidDel="00000000" w:rsidP="00000000" w:rsidRDefault="00000000" w:rsidRPr="00000000" w14:paraId="00000005">
      <w:pPr>
        <w:pStyle w:val="Heading1"/>
        <w:spacing w:after="0" w:before="120" w:line="240" w:lineRule="auto"/>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PRIVIND CERCETAREA ȘTIINȚIFICĂ ȘI CREAȚIA ARTISTICĂ</w:t>
      </w:r>
    </w:p>
    <w:p w:rsidR="00000000" w:rsidDel="00000000" w:rsidP="00000000" w:rsidRDefault="00000000" w:rsidRPr="00000000" w14:paraId="00000006">
      <w:pPr>
        <w:pStyle w:val="Heading1"/>
        <w:spacing w:after="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2024-2029</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I. CONDIȚII ȘI POSIBILITĂȚI – ANALIZĂ SWOT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Puncte tari:</w:t>
      </w:r>
      <w:r w:rsidDel="00000000" w:rsidR="00000000" w:rsidRPr="00000000">
        <w:rPr>
          <w:rtl w:val="0"/>
        </w:rPr>
      </w:r>
    </w:p>
    <w:p w:rsidR="00000000" w:rsidDel="00000000" w:rsidP="00000000" w:rsidRDefault="00000000" w:rsidRPr="00000000" w14:paraId="0000000C">
      <w:pPr>
        <w:numPr>
          <w:ilvl w:val="0"/>
          <w:numId w:val="2"/>
        </w:numPr>
        <w:ind w:left="720" w:hanging="360"/>
        <w:rPr>
          <w:b w:val="1"/>
          <w:sz w:val="28"/>
          <w:szCs w:val="28"/>
        </w:rPr>
      </w:pPr>
      <w:r w:rsidDel="00000000" w:rsidR="00000000" w:rsidRPr="00000000">
        <w:rPr>
          <w:rtl w:val="0"/>
        </w:rPr>
        <w:t xml:space="preserve">Activitate de cercetare științifică și creație artistică vizibilă pe plan național, regional, internațional</w:t>
      </w:r>
      <w:r w:rsidDel="00000000" w:rsidR="00000000" w:rsidRPr="00000000">
        <w:rPr>
          <w:rtl w:val="0"/>
        </w:rPr>
      </w:r>
    </w:p>
    <w:p w:rsidR="00000000" w:rsidDel="00000000" w:rsidP="00000000" w:rsidRDefault="00000000" w:rsidRPr="00000000" w14:paraId="0000000D">
      <w:pPr>
        <w:numPr>
          <w:ilvl w:val="0"/>
          <w:numId w:val="2"/>
        </w:numPr>
        <w:ind w:left="720" w:hanging="360"/>
        <w:rPr>
          <w:b w:val="1"/>
          <w:sz w:val="28"/>
          <w:szCs w:val="28"/>
        </w:rPr>
      </w:pPr>
      <w:r w:rsidDel="00000000" w:rsidR="00000000" w:rsidRPr="00000000">
        <w:rPr>
          <w:rtl w:val="0"/>
        </w:rPr>
        <w:t xml:space="preserve">Institut de cercetare funcțional</w:t>
      </w:r>
      <w:r w:rsidDel="00000000" w:rsidR="00000000" w:rsidRPr="00000000">
        <w:rPr>
          <w:rtl w:val="0"/>
        </w:rPr>
      </w:r>
    </w:p>
    <w:p w:rsidR="00000000" w:rsidDel="00000000" w:rsidP="00000000" w:rsidRDefault="00000000" w:rsidRPr="00000000" w14:paraId="0000000E">
      <w:pPr>
        <w:numPr>
          <w:ilvl w:val="0"/>
          <w:numId w:val="2"/>
        </w:numPr>
        <w:ind w:left="720" w:hanging="360"/>
        <w:rPr>
          <w:b w:val="1"/>
          <w:sz w:val="28"/>
          <w:szCs w:val="28"/>
        </w:rPr>
      </w:pPr>
      <w:r w:rsidDel="00000000" w:rsidR="00000000" w:rsidRPr="00000000">
        <w:rPr>
          <w:rtl w:val="0"/>
        </w:rPr>
        <w:t xml:space="preserve">Sistem intern de îngrijire a talentelor funcțional</w:t>
      </w:r>
      <w:r w:rsidDel="00000000" w:rsidR="00000000" w:rsidRPr="00000000">
        <w:rPr>
          <w:rtl w:val="0"/>
        </w:rPr>
      </w:r>
    </w:p>
    <w:p w:rsidR="00000000" w:rsidDel="00000000" w:rsidP="00000000" w:rsidRDefault="00000000" w:rsidRPr="00000000" w14:paraId="0000000F">
      <w:pPr>
        <w:numPr>
          <w:ilvl w:val="0"/>
          <w:numId w:val="2"/>
        </w:numPr>
        <w:ind w:left="720" w:hanging="360"/>
        <w:rPr>
          <w:b w:val="1"/>
          <w:sz w:val="28"/>
          <w:szCs w:val="28"/>
        </w:rPr>
      </w:pPr>
      <w:r w:rsidDel="00000000" w:rsidR="00000000" w:rsidRPr="00000000">
        <w:rPr>
          <w:rtl w:val="0"/>
        </w:rPr>
        <w:t xml:space="preserve">Proiecte de creație și cercetare</w:t>
      </w:r>
      <w:r w:rsidDel="00000000" w:rsidR="00000000" w:rsidRPr="00000000">
        <w:rPr>
          <w:rtl w:val="0"/>
        </w:rPr>
      </w:r>
    </w:p>
    <w:p w:rsidR="00000000" w:rsidDel="00000000" w:rsidP="00000000" w:rsidRDefault="00000000" w:rsidRPr="00000000" w14:paraId="00000010">
      <w:pPr>
        <w:numPr>
          <w:ilvl w:val="0"/>
          <w:numId w:val="2"/>
        </w:numPr>
        <w:ind w:left="720" w:hanging="360"/>
        <w:rPr>
          <w:b w:val="1"/>
          <w:sz w:val="28"/>
          <w:szCs w:val="28"/>
        </w:rPr>
      </w:pPr>
      <w:r w:rsidDel="00000000" w:rsidR="00000000" w:rsidRPr="00000000">
        <w:rPr>
          <w:rtl w:val="0"/>
        </w:rPr>
        <w:t xml:space="preserve">Organizarea regulată a unor concerte și concursuri internaționale și cu participare internațională. </w:t>
      </w:r>
      <w:r w:rsidDel="00000000" w:rsidR="00000000" w:rsidRPr="00000000">
        <w:rPr>
          <w:rtl w:val="0"/>
        </w:rPr>
      </w:r>
    </w:p>
    <w:p w:rsidR="00000000" w:rsidDel="00000000" w:rsidP="00000000" w:rsidRDefault="00000000" w:rsidRPr="00000000" w14:paraId="00000011">
      <w:pPr>
        <w:ind w:left="360" w:firstLine="0"/>
        <w:rPr>
          <w:sz w:val="28"/>
          <w:szCs w:val="28"/>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Puncte slabe:</w:t>
      </w:r>
      <w:r w:rsidDel="00000000" w:rsidR="00000000" w:rsidRPr="00000000">
        <w:rPr>
          <w:rtl w:val="0"/>
        </w:rPr>
      </w:r>
    </w:p>
    <w:p w:rsidR="00000000" w:rsidDel="00000000" w:rsidP="00000000" w:rsidRDefault="00000000" w:rsidRPr="00000000" w14:paraId="00000013">
      <w:pPr>
        <w:numPr>
          <w:ilvl w:val="0"/>
          <w:numId w:val="2"/>
        </w:numPr>
        <w:ind w:left="720" w:hanging="360"/>
        <w:rPr>
          <w:b w:val="1"/>
          <w:sz w:val="28"/>
          <w:szCs w:val="28"/>
        </w:rPr>
      </w:pPr>
      <w:r w:rsidDel="00000000" w:rsidR="00000000" w:rsidRPr="00000000">
        <w:rPr>
          <w:rtl w:val="0"/>
        </w:rPr>
        <w:t xml:space="preserve">Dotări specifice interpretării scenice precare: scenă, ecleraj, sunet</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Posibilități:</w:t>
      </w:r>
      <w:r w:rsidDel="00000000" w:rsidR="00000000" w:rsidRPr="00000000">
        <w:rPr>
          <w:rtl w:val="0"/>
        </w:rPr>
      </w:r>
    </w:p>
    <w:p w:rsidR="00000000" w:rsidDel="00000000" w:rsidP="00000000" w:rsidRDefault="00000000" w:rsidRPr="00000000" w14:paraId="00000016">
      <w:pPr>
        <w:rPr/>
      </w:pPr>
      <w:r w:rsidDel="00000000" w:rsidR="00000000" w:rsidRPr="00000000">
        <w:rPr>
          <w:i w:val="1"/>
          <w:rtl w:val="0"/>
        </w:rPr>
        <w:t xml:space="preserve">Pe termen mediu:</w:t>
      </w:r>
      <w:r w:rsidDel="00000000" w:rsidR="00000000" w:rsidRPr="00000000">
        <w:rPr>
          <w:rtl w:val="0"/>
        </w:rPr>
      </w:r>
    </w:p>
    <w:p w:rsidR="00000000" w:rsidDel="00000000" w:rsidP="00000000" w:rsidRDefault="00000000" w:rsidRPr="00000000" w14:paraId="00000017">
      <w:pPr>
        <w:numPr>
          <w:ilvl w:val="0"/>
          <w:numId w:val="2"/>
        </w:numPr>
        <w:ind w:left="720" w:hanging="360"/>
        <w:rPr>
          <w:b w:val="1"/>
          <w:sz w:val="28"/>
          <w:szCs w:val="28"/>
        </w:rPr>
      </w:pPr>
      <w:r w:rsidDel="00000000" w:rsidR="00000000" w:rsidRPr="00000000">
        <w:rPr>
          <w:rtl w:val="0"/>
        </w:rPr>
        <w:t xml:space="preserve">Dezvoltarea și sporirea vizibilității activității științifice a studenților (prin colegiul de excelență al universității și prin stimularea cercetărilor comune dintre profesori și studenți);</w:t>
      </w:r>
      <w:r w:rsidDel="00000000" w:rsidR="00000000" w:rsidRPr="00000000">
        <w:rPr>
          <w:rtl w:val="0"/>
        </w:rPr>
      </w:r>
    </w:p>
    <w:p w:rsidR="00000000" w:rsidDel="00000000" w:rsidP="00000000" w:rsidRDefault="00000000" w:rsidRPr="00000000" w14:paraId="00000018">
      <w:pPr>
        <w:numPr>
          <w:ilvl w:val="0"/>
          <w:numId w:val="2"/>
        </w:numPr>
        <w:ind w:left="720" w:hanging="360"/>
        <w:rPr>
          <w:b w:val="1"/>
          <w:sz w:val="28"/>
          <w:szCs w:val="28"/>
        </w:rPr>
      </w:pPr>
      <w:r w:rsidDel="00000000" w:rsidR="00000000" w:rsidRPr="00000000">
        <w:rPr>
          <w:rtl w:val="0"/>
        </w:rPr>
        <w:t xml:space="preserve">Obținerea de finanțări centrate pe scopuri operaționale.</w:t>
      </w:r>
      <w:r w:rsidDel="00000000" w:rsidR="00000000" w:rsidRPr="00000000">
        <w:rPr>
          <w:rtl w:val="0"/>
        </w:rPr>
      </w:r>
    </w:p>
    <w:p w:rsidR="00000000" w:rsidDel="00000000" w:rsidP="00000000" w:rsidRDefault="00000000" w:rsidRPr="00000000" w14:paraId="00000019">
      <w:pPr>
        <w:numPr>
          <w:ilvl w:val="0"/>
          <w:numId w:val="2"/>
        </w:numPr>
        <w:ind w:left="720" w:hanging="360"/>
        <w:rPr>
          <w:b w:val="1"/>
          <w:sz w:val="28"/>
          <w:szCs w:val="28"/>
        </w:rPr>
      </w:pPr>
      <w:r w:rsidDel="00000000" w:rsidR="00000000" w:rsidRPr="00000000">
        <w:rPr>
          <w:rtl w:val="0"/>
        </w:rPr>
        <w:t xml:space="preserve">Creşterea calităţii activităţilor ştiinţifice şi educative prin:</w:t>
      </w:r>
      <w:r w:rsidDel="00000000" w:rsidR="00000000" w:rsidRPr="00000000">
        <w:rPr>
          <w:rtl w:val="0"/>
        </w:rPr>
      </w:r>
    </w:p>
    <w:p w:rsidR="00000000" w:rsidDel="00000000" w:rsidP="00000000" w:rsidRDefault="00000000" w:rsidRPr="00000000" w14:paraId="0000001A">
      <w:pPr>
        <w:numPr>
          <w:ilvl w:val="0"/>
          <w:numId w:val="3"/>
        </w:numPr>
        <w:ind w:left="1080" w:hanging="360"/>
        <w:rPr>
          <w:sz w:val="20"/>
          <w:szCs w:val="20"/>
        </w:rPr>
      </w:pPr>
      <w:r w:rsidDel="00000000" w:rsidR="00000000" w:rsidRPr="00000000">
        <w:rPr>
          <w:rtl w:val="0"/>
        </w:rPr>
        <w:t xml:space="preserve">favorizarea acelor cercetări, din care rezultă cunoştinţe reale şi valorificabile: stagiunea de operă, muzică sacră, lied-oratoriu.</w:t>
      </w:r>
      <w:r w:rsidDel="00000000" w:rsidR="00000000" w:rsidRPr="00000000">
        <w:rPr>
          <w:rtl w:val="0"/>
        </w:rPr>
      </w:r>
    </w:p>
    <w:p w:rsidR="00000000" w:rsidDel="00000000" w:rsidP="00000000" w:rsidRDefault="00000000" w:rsidRPr="00000000" w14:paraId="0000001B">
      <w:pPr>
        <w:numPr>
          <w:ilvl w:val="0"/>
          <w:numId w:val="3"/>
        </w:numPr>
        <w:ind w:left="1080" w:hanging="360"/>
        <w:rPr>
          <w:sz w:val="20"/>
          <w:szCs w:val="20"/>
        </w:rPr>
      </w:pPr>
      <w:r w:rsidDel="00000000" w:rsidR="00000000" w:rsidRPr="00000000">
        <w:rPr>
          <w:rtl w:val="0"/>
        </w:rPr>
        <w:t xml:space="preserve">încurajarea perfecţionării cadrelor didactice, oferind informaţii şi suport în acest sens;</w:t>
      </w:r>
      <w:r w:rsidDel="00000000" w:rsidR="00000000" w:rsidRPr="00000000">
        <w:rPr>
          <w:rtl w:val="0"/>
        </w:rPr>
      </w:r>
    </w:p>
    <w:p w:rsidR="00000000" w:rsidDel="00000000" w:rsidP="00000000" w:rsidRDefault="00000000" w:rsidRPr="00000000" w14:paraId="0000001C">
      <w:pPr>
        <w:numPr>
          <w:ilvl w:val="0"/>
          <w:numId w:val="3"/>
        </w:numPr>
        <w:ind w:left="1080" w:hanging="360"/>
        <w:rPr>
          <w:sz w:val="20"/>
          <w:szCs w:val="20"/>
        </w:rPr>
      </w:pPr>
      <w:r w:rsidDel="00000000" w:rsidR="00000000" w:rsidRPr="00000000">
        <w:rPr>
          <w:rtl w:val="0"/>
        </w:rPr>
        <w:t xml:space="preserve">invitarea unor specialişti de înaltă clasă din ţară şi străinătate prin diferite programe, prin diferite proiecte de finanţare</w:t>
      </w:r>
      <w:r w:rsidDel="00000000" w:rsidR="00000000" w:rsidRPr="00000000">
        <w:rPr>
          <w:rtl w:val="0"/>
        </w:rPr>
      </w:r>
    </w:p>
    <w:p w:rsidR="00000000" w:rsidDel="00000000" w:rsidP="00000000" w:rsidRDefault="00000000" w:rsidRPr="00000000" w14:paraId="0000001D">
      <w:pPr>
        <w:rPr/>
      </w:pPr>
      <w:r w:rsidDel="00000000" w:rsidR="00000000" w:rsidRPr="00000000">
        <w:rPr>
          <w:i w:val="1"/>
          <w:rtl w:val="0"/>
        </w:rPr>
        <w:t xml:space="preserve">Pe termen lung:</w:t>
      </w:r>
      <w:r w:rsidDel="00000000" w:rsidR="00000000" w:rsidRPr="00000000">
        <w:rPr>
          <w:rtl w:val="0"/>
        </w:rPr>
      </w:r>
    </w:p>
    <w:p w:rsidR="00000000" w:rsidDel="00000000" w:rsidP="00000000" w:rsidRDefault="00000000" w:rsidRPr="00000000" w14:paraId="0000001E">
      <w:pPr>
        <w:numPr>
          <w:ilvl w:val="0"/>
          <w:numId w:val="2"/>
        </w:numPr>
        <w:ind w:left="720" w:hanging="360"/>
        <w:rPr>
          <w:b w:val="1"/>
          <w:sz w:val="28"/>
          <w:szCs w:val="28"/>
        </w:rPr>
      </w:pPr>
      <w:r w:rsidDel="00000000" w:rsidR="00000000" w:rsidRPr="00000000">
        <w:rPr>
          <w:rtl w:val="0"/>
        </w:rPr>
        <w:t xml:space="preserve">O prezență mai intensivă în viața științifică internațională;</w:t>
      </w:r>
      <w:r w:rsidDel="00000000" w:rsidR="00000000" w:rsidRPr="00000000">
        <w:rPr>
          <w:rtl w:val="0"/>
        </w:rPr>
      </w:r>
    </w:p>
    <w:p w:rsidR="00000000" w:rsidDel="00000000" w:rsidP="00000000" w:rsidRDefault="00000000" w:rsidRPr="00000000" w14:paraId="0000001F">
      <w:pPr>
        <w:numPr>
          <w:ilvl w:val="0"/>
          <w:numId w:val="2"/>
        </w:numPr>
        <w:ind w:left="720" w:hanging="360"/>
        <w:rPr>
          <w:b w:val="1"/>
          <w:sz w:val="28"/>
          <w:szCs w:val="28"/>
        </w:rPr>
      </w:pPr>
      <w:r w:rsidDel="00000000" w:rsidR="00000000" w:rsidRPr="00000000">
        <w:rPr>
          <w:rtl w:val="0"/>
        </w:rPr>
        <w:t xml:space="preserve">Intensificarea colaborărilor cu instituții de cultură la nivel național și internațional.</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II. SCOPURI STRATEGICE:</w:t>
      </w: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Ofertă educațională stabilă, variată și de calitate;</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Personal didactic cu o performanță didactică, științifică și artistică excelentă;</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Profil de cercetare vizibil pe plan internațional; rezultate științifice și artistice internaționale;</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Comunicare bună cu foștii, actualii și potențialii studenți;</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Incluziune socială bună a activității artistice și științifice muzicale.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III. SCOPURI OPERAȚIONALE</w:t>
      </w: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1. Formarea unui profil științific și artistic vizibil pe plan regional, național și internațional</w:t>
      </w:r>
      <w:r w:rsidDel="00000000" w:rsidR="00000000" w:rsidRPr="00000000">
        <w:rPr>
          <w:rtl w:val="0"/>
        </w:rPr>
      </w:r>
    </w:p>
    <w:p w:rsidR="00000000" w:rsidDel="00000000" w:rsidP="00000000" w:rsidRDefault="00000000" w:rsidRPr="00000000" w14:paraId="0000002B">
      <w:pPr>
        <w:numPr>
          <w:ilvl w:val="0"/>
          <w:numId w:val="2"/>
        </w:numPr>
        <w:ind w:left="720" w:hanging="360"/>
        <w:rPr>
          <w:b w:val="1"/>
          <w:sz w:val="28"/>
          <w:szCs w:val="28"/>
        </w:rPr>
      </w:pPr>
      <w:r w:rsidDel="00000000" w:rsidR="00000000" w:rsidRPr="00000000">
        <w:rPr>
          <w:rtl w:val="0"/>
        </w:rPr>
        <w:t xml:space="preserve">Punerea în scenă a operelor și lucrărilor vocale semnate de compozitori maghiari;</w:t>
      </w:r>
    </w:p>
    <w:p w:rsidR="00000000" w:rsidDel="00000000" w:rsidP="00000000" w:rsidRDefault="00000000" w:rsidRPr="00000000" w14:paraId="0000002C">
      <w:pPr>
        <w:numPr>
          <w:ilvl w:val="0"/>
          <w:numId w:val="2"/>
        </w:numPr>
        <w:ind w:left="720" w:hanging="360"/>
        <w:rPr>
          <w:b w:val="1"/>
          <w:sz w:val="28"/>
          <w:szCs w:val="28"/>
        </w:rPr>
      </w:pPr>
      <w:r w:rsidDel="00000000" w:rsidR="00000000" w:rsidRPr="00000000">
        <w:rPr>
          <w:rtl w:val="0"/>
        </w:rPr>
        <w:t xml:space="preserve">Sesiuni de comunicări științifice și lucrări care să susțină din punct de vedere muzicologic tematicile specifice repertoriului autohton;</w:t>
      </w:r>
    </w:p>
    <w:p w:rsidR="00000000" w:rsidDel="00000000" w:rsidP="00000000" w:rsidRDefault="00000000" w:rsidRPr="00000000" w14:paraId="0000002D">
      <w:pPr>
        <w:rPr/>
      </w:pPr>
      <w:r w:rsidDel="00000000" w:rsidR="00000000" w:rsidRPr="00000000">
        <w:rPr>
          <w:b w:val="1"/>
          <w:rtl w:val="0"/>
        </w:rPr>
        <w:t xml:space="preserve">2. Dezvoltarea infrastructurii cercetărilor artistice muzicale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Dezvoltarea studioului de artă scenică și a laboratoarelor de tehnică vocală;</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Dezvoltarea bibliotecii universitare;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Dezvoltarea studioului acustic;</w:t>
      </w:r>
    </w:p>
    <w:p w:rsidR="00000000" w:rsidDel="00000000" w:rsidP="00000000" w:rsidRDefault="00000000" w:rsidRPr="00000000" w14:paraId="00000031">
      <w:pPr>
        <w:ind w:left="144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3. Promovarea continuă a activităților de creație și cercetare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Stimularea activităților de creație și cercetare prin sporuri de excelență</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pPr>
      <w:r w:rsidDel="00000000" w:rsidR="00000000" w:rsidRPr="00000000">
        <w:rPr>
          <w:rtl w:val="0"/>
        </w:rPr>
        <w:t xml:space="preserve">Resurse financiare: bugetul universității, sponsorizări.</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Organizarea regulată și continuă de spectacole, concerte, conferințe.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pPr>
      <w:r w:rsidDel="00000000" w:rsidR="00000000" w:rsidRPr="00000000">
        <w:rPr>
          <w:rtl w:val="0"/>
        </w:rPr>
        <w:t xml:space="preserve">Resurse umane: date (cadre didactice și studenți).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pPr>
      <w:r w:rsidDel="00000000" w:rsidR="00000000" w:rsidRPr="00000000">
        <w:rPr>
          <w:rtl w:val="0"/>
        </w:rPr>
        <w:t xml:space="preserve">Resurse financiare: granturi, bugetul universității, burse oferite de colaboratori externi</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Implicarea studenților în activitățile de creație și cercetare a cadrelor didactice.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pPr>
      <w:r w:rsidDel="00000000" w:rsidR="00000000" w:rsidRPr="00000000">
        <w:rPr>
          <w:rtl w:val="0"/>
        </w:rPr>
        <w:t xml:space="preserve">Resurse umane: date (cadre didactice și studenți).</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4. Publicarea rezultatelor științifice pe foruri internaționale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Stimularea valorificării rezultatelor C.C.M. în viața științifică și artistică internațională (concerte, festivaluri, conferințe și publicații internaționale);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Publicarea cercetărilor în volume dedicate;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pPr>
      <w:r w:rsidDel="00000000" w:rsidR="00000000" w:rsidRPr="00000000">
        <w:rPr>
          <w:rtl w:val="0"/>
        </w:rPr>
        <w:t xml:space="preserve">Resurse financiare: granturi.</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5. Sprijinirea tinerelor talente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Implementarea unor programe de formare de calitate în cadrul colegiului de excelență.</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Mentorarea activității științifice a studenților atât în cadrul colegiului de excelență, cât și în cadrul programului curricular.</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Stimularea participării studenților la sesiunile științifice studențești la nivel PTDK (Oradea), ETDK (Cluj) și OTDK (Ungaria).</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Centrul C.C.M. promovează studenţii prin participare la diferite evenimente artistice şi profesionale naţionale şi internaţionale. (Studenţii au obţinut până în prezent mai multe premii şi burse profesionale pe nivel naţional şi internaţional).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sz w:val="28"/>
          <w:szCs w:val="28"/>
        </w:rPr>
      </w:pPr>
      <w:r w:rsidDel="00000000" w:rsidR="00000000" w:rsidRPr="00000000">
        <w:rPr>
          <w:rtl w:val="0"/>
        </w:rPr>
        <w:t xml:space="preserve">Colectivul centrului C.C.M. stimulează în continuare participarea studenţilor la proiecte ştiinţifice, în cadrul programului de mobilitate Erasmus, respectiv Erasmus IP, precum şi pentru accederea lor la programe de practică profesională din străinătate.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Întocmit: Conf.univ.dr. Carmen Vasile</w:t>
      </w:r>
    </w:p>
    <w:p w:rsidR="00000000" w:rsidDel="00000000" w:rsidP="00000000" w:rsidRDefault="00000000" w:rsidRPr="00000000" w14:paraId="00000048">
      <w:pPr>
        <w:rPr/>
      </w:pPr>
      <w:r w:rsidDel="00000000" w:rsidR="00000000" w:rsidRPr="00000000">
        <w:rPr>
          <w:rtl w:val="0"/>
        </w:rPr>
        <w:t xml:space="preserve">2025. 02. 21.</w:t>
      </w:r>
    </w:p>
    <w:p w:rsidR="00000000" w:rsidDel="00000000" w:rsidP="00000000" w:rsidRDefault="00000000" w:rsidRPr="00000000" w14:paraId="00000049">
      <w:pPr>
        <w:rPr/>
      </w:pPr>
      <w:hyperlink r:id="rId7">
        <w:r w:rsidDel="00000000" w:rsidR="00000000" w:rsidRPr="00000000">
          <w:rPr>
            <w:color w:val="0000ee"/>
            <w:u w:val="single"/>
            <w:rtl w:val="0"/>
          </w:rPr>
          <w:t xml:space="preserve">Plan strategic CCM 2024-2029</w:t>
        </w:r>
      </w:hyperlink>
      <w:r w:rsidDel="00000000" w:rsidR="00000000" w:rsidRPr="00000000">
        <w:rPr>
          <w:rtl w:val="0"/>
        </w:rPr>
      </w:r>
    </w:p>
    <w:sectPr>
      <w:headerReference r:id="rId8" w:type="default"/>
      <w:footerReference r:id="rId9" w:type="default"/>
      <w:pgSz w:h="16840" w:w="1190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360" w:lineRule="auto"/>
      <w:jc w:val="both"/>
    </w:pPr>
    <w:rPr>
      <w:rFonts w:ascii="Arial" w:cs="Arial" w:eastAsia="Arial" w:hAnsi="Arial"/>
      <w:b w:val="1"/>
      <w:color w:val="000000"/>
      <w:sz w:val="32"/>
      <w:szCs w:val="32"/>
      <w:u w:val="no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360" w:lineRule="auto"/>
      <w:jc w:val="both"/>
    </w:pPr>
    <w:rPr>
      <w:rFonts w:ascii="Arial" w:cs="Arial" w:eastAsia="Arial" w:hAnsi="Arial"/>
      <w:b w:val="1"/>
      <w:color w:val="000000"/>
      <w:sz w:val="26"/>
      <w:szCs w:val="26"/>
      <w:u w:val="no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360" w:lineRule="auto"/>
      <w:jc w:val="both"/>
    </w:pPr>
    <w:rPr>
      <w:b w:val="1"/>
      <w:color w:val="000000"/>
      <w:sz w:val="22"/>
      <w:szCs w:val="22"/>
      <w:u w:val="no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both"/>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both"/>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pPr>
      <w:spacing w:line="360" w:lineRule="auto"/>
      <w:jc w:val="both"/>
    </w:pPr>
    <w:rPr>
      <w:rFonts w:cs="Arial Unicode MS" w:hAnsi="Arial Unicode MS"/>
      <w:color w:val="000000"/>
      <w:sz w:val="24"/>
      <w:szCs w:val="24"/>
      <w:u w:color="000000"/>
      <w:lang w:eastAsia="en-US" w:val="en-US"/>
    </w:rPr>
  </w:style>
  <w:style w:type="paragraph" w:styleId="Heading1">
    <w:name w:val="heading 1"/>
    <w:next w:val="Normal"/>
    <w:pPr>
      <w:keepNext w:val="1"/>
      <w:spacing w:after="60" w:before="240" w:line="360" w:lineRule="auto"/>
      <w:jc w:val="both"/>
      <w:outlineLvl w:val="0"/>
    </w:pPr>
    <w:rPr>
      <w:rFonts w:ascii="Arial" w:cs="Arial Unicode MS" w:hAnsi="Arial Unicode MS"/>
      <w:b w:val="1"/>
      <w:bCs w:val="1"/>
      <w:color w:val="000000"/>
      <w:kern w:val="32"/>
      <w:sz w:val="32"/>
      <w:szCs w:val="32"/>
      <w:u w:color="000000"/>
      <w:lang w:val="en-US"/>
    </w:rPr>
  </w:style>
  <w:style w:type="paragraph" w:styleId="Heading3">
    <w:name w:val="heading 3"/>
    <w:next w:val="Normal"/>
    <w:pPr>
      <w:keepNext w:val="1"/>
      <w:spacing w:after="60" w:before="240" w:line="360" w:lineRule="auto"/>
      <w:jc w:val="both"/>
      <w:outlineLvl w:val="2"/>
    </w:pPr>
    <w:rPr>
      <w:rFonts w:ascii="Arial" w:cs="Arial Unicode MS" w:hAnsi="Arial Unicode MS"/>
      <w:b w:val="1"/>
      <w:bCs w:val="1"/>
      <w:color w:val="000000"/>
      <w:sz w:val="26"/>
      <w:szCs w:val="26"/>
      <w:u w:color="000000"/>
      <w:lang w:val="en-US"/>
    </w:rPr>
  </w:style>
  <w:style w:type="paragraph" w:styleId="Heading6">
    <w:name w:val="heading 6"/>
    <w:next w:val="Normal"/>
    <w:pPr>
      <w:spacing w:after="60" w:before="240" w:line="360" w:lineRule="auto"/>
      <w:jc w:val="both"/>
      <w:outlineLvl w:val="5"/>
    </w:pPr>
    <w:rPr>
      <w:rFonts w:cs="Arial Unicode MS" w:hAnsi="Arial Unicode MS"/>
      <w:b w:val="1"/>
      <w:bCs w:val="1"/>
      <w:color w:val="000000"/>
      <w:sz w:val="22"/>
      <w:szCs w:val="22"/>
      <w:u w:color="00000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Fejlcslblc" w:customStyle="1">
    <w:name w:val="Fejléc és lábléc"/>
    <w:pPr>
      <w:tabs>
        <w:tab w:val="right" w:pos="9020"/>
      </w:tabs>
    </w:pPr>
    <w:rPr>
      <w:rFonts w:ascii="Helvetica" w:cs="Arial Unicode MS" w:hAnsi="Arial Unicode MS"/>
      <w:color w:val="000000"/>
      <w:sz w:val="24"/>
      <w:szCs w:val="24"/>
    </w:rPr>
  </w:style>
  <w:style w:type="numbering" w:styleId="List0" w:customStyle="1">
    <w:name w:val="List 0"/>
    <w:basedOn w:val="Importlt1stlus"/>
    <w:pPr>
      <w:numPr>
        <w:numId w:val="4"/>
      </w:numPr>
    </w:pPr>
  </w:style>
  <w:style w:type="numbering" w:styleId="Importlt1stlus" w:customStyle="1">
    <w:name w:val="Importált 1 stílus"/>
  </w:style>
  <w:style w:type="numbering" w:styleId="List1" w:customStyle="1">
    <w:name w:val="List 1"/>
    <w:basedOn w:val="Importlt2stlus"/>
    <w:pPr>
      <w:numPr>
        <w:numId w:val="6"/>
      </w:numPr>
    </w:pPr>
  </w:style>
  <w:style w:type="numbering" w:styleId="Importlt2stlus" w:customStyle="1">
    <w:name w:val="Importált 2 stílus"/>
  </w:style>
  <w:style w:type="numbering" w:styleId="List21" w:customStyle="1">
    <w:name w:val="List 21"/>
    <w:basedOn w:val="Importlt3stlus"/>
    <w:pPr>
      <w:numPr>
        <w:numId w:val="29"/>
      </w:numPr>
    </w:pPr>
  </w:style>
  <w:style w:type="numbering" w:styleId="Importlt3stlus" w:customStyle="1">
    <w:name w:val="Importált 3 stílus"/>
  </w:style>
  <w:style w:type="numbering" w:styleId="List31" w:customStyle="1">
    <w:name w:val="List 31"/>
    <w:basedOn w:val="Importlt4stlus"/>
    <w:pPr>
      <w:numPr>
        <w:numId w:val="35"/>
      </w:numPr>
    </w:pPr>
  </w:style>
  <w:style w:type="numbering" w:styleId="Importlt4stlus" w:customStyle="1">
    <w:name w:val="Importált 4 stílus"/>
  </w:style>
  <w:style w:type="numbering" w:styleId="List41" w:customStyle="1">
    <w:name w:val="List 41"/>
    <w:basedOn w:val="Importlt5stlus"/>
    <w:pPr>
      <w:numPr>
        <w:numId w:val="60"/>
      </w:numPr>
    </w:pPr>
  </w:style>
  <w:style w:type="numbering" w:styleId="Importlt5stlus" w:customStyle="1">
    <w:name w:val="Importált 5 stílus"/>
  </w:style>
  <w:style w:type="numbering" w:styleId="List51" w:customStyle="1">
    <w:name w:val="List 51"/>
    <w:basedOn w:val="Importlt6stlus"/>
    <w:pPr>
      <w:numPr>
        <w:numId w:val="44"/>
      </w:numPr>
    </w:pPr>
  </w:style>
  <w:style w:type="numbering" w:styleId="Importlt6stlus" w:customStyle="1">
    <w:name w:val="Importált 6 stílus"/>
  </w:style>
  <w:style w:type="numbering" w:styleId="List6" w:customStyle="1">
    <w:name w:val="List 6"/>
    <w:basedOn w:val="Importlt7stlus"/>
    <w:pPr>
      <w:numPr>
        <w:numId w:val="47"/>
      </w:numPr>
    </w:pPr>
  </w:style>
  <w:style w:type="numbering" w:styleId="Importlt7stlus" w:customStyle="1">
    <w:name w:val="Importált 7 stílus"/>
  </w:style>
  <w:style w:type="numbering" w:styleId="List7" w:customStyle="1">
    <w:name w:val="List 7"/>
    <w:basedOn w:val="Importlt8stlus"/>
    <w:pPr>
      <w:numPr>
        <w:numId w:val="50"/>
      </w:numPr>
    </w:pPr>
  </w:style>
  <w:style w:type="numbering" w:styleId="Importlt8stlus" w:customStyle="1">
    <w:name w:val="Importált 8 stílus"/>
  </w:style>
  <w:style w:type="numbering" w:styleId="List8" w:customStyle="1">
    <w:name w:val="List 8"/>
    <w:basedOn w:val="Importlt9stlus"/>
    <w:pPr>
      <w:numPr>
        <w:numId w:val="55"/>
      </w:numPr>
    </w:pPr>
  </w:style>
  <w:style w:type="numbering" w:styleId="Importlt9stlus" w:customStyle="1">
    <w:name w:val="Importált 9 stílus"/>
  </w:style>
  <w:style w:type="numbering" w:styleId="List9" w:customStyle="1">
    <w:name w:val="List 9"/>
    <w:basedOn w:val="Importlt1stlus"/>
    <w:pPr>
      <w:numPr>
        <w:numId w:val="62"/>
      </w:numPr>
    </w:pPr>
  </w:style>
  <w:style w:type="numbering" w:styleId="List10" w:customStyle="1">
    <w:name w:val="List 10"/>
    <w:basedOn w:val="Importlt2stlus"/>
    <w:pPr>
      <w:numPr>
        <w:numId w:val="63"/>
      </w:numPr>
    </w:pPr>
  </w:style>
  <w:style w:type="numbering" w:styleId="List11" w:customStyle="1">
    <w:name w:val="List 11"/>
    <w:basedOn w:val="Importlt3stlus"/>
    <w:pPr>
      <w:numPr>
        <w:numId w:val="76"/>
      </w:numPr>
    </w:pPr>
  </w:style>
  <w:style w:type="numbering" w:styleId="List12" w:customStyle="1">
    <w:name w:val="List 12"/>
    <w:basedOn w:val="Importlt4stlus"/>
    <w:pPr>
      <w:numPr>
        <w:numId w:val="79"/>
      </w:numPr>
    </w:pPr>
  </w:style>
  <w:style w:type="numbering" w:styleId="List13" w:customStyle="1">
    <w:name w:val="List 13"/>
    <w:basedOn w:val="Importlt5stlus"/>
    <w:pPr>
      <w:numPr>
        <w:numId w:val="81"/>
      </w:numPr>
    </w:pPr>
  </w:style>
  <w:style w:type="numbering" w:styleId="List14" w:customStyle="1">
    <w:name w:val="List 14"/>
    <w:basedOn w:val="Importlt6stlus"/>
    <w:pPr>
      <w:numPr>
        <w:numId w:val="82"/>
      </w:numPr>
    </w:pPr>
  </w:style>
  <w:style w:type="numbering" w:styleId="List15" w:customStyle="1">
    <w:name w:val="List 15"/>
    <w:basedOn w:val="Importlt7stlus"/>
    <w:pPr>
      <w:numPr>
        <w:numId w:val="84"/>
      </w:numPr>
    </w:pPr>
  </w:style>
  <w:style w:type="numbering" w:styleId="List16" w:customStyle="1">
    <w:name w:val="List 16"/>
    <w:basedOn w:val="Importlt8stlus"/>
    <w:pPr>
      <w:numPr>
        <w:numId w:val="87"/>
      </w:numPr>
    </w:pPr>
  </w:style>
  <w:style w:type="paragraph" w:styleId="BalloonText">
    <w:name w:val="Balloon Text"/>
    <w:basedOn w:val="Normal"/>
    <w:link w:val="BalloonTextChar"/>
    <w:uiPriority w:val="99"/>
    <w:semiHidden w:val="1"/>
    <w:unhideWhenUsed w:val="1"/>
    <w:rsid w:val="00BD7F93"/>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7F93"/>
    <w:rPr>
      <w:rFonts w:ascii="Tahoma" w:cs="Tahoma" w:hAnsi="Tahoma"/>
      <w:color w:val="000000"/>
      <w:sz w:val="16"/>
      <w:szCs w:val="16"/>
      <w:u w:color="000000"/>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llDRRc6nfXC3GlxQ5WoPvwJpgQonKHy2/edit?usp=drive_link&amp;ouid=109936789001625570614&amp;rtpof=true&amp;sd=tru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5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8g2sORg59QsMR6DzFPesVF0GA==">CgMxLjA4AHIhMWxsRFJSYzZuZlhDM0dseFE1V29QdndKcGdRb25LSHky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2020-05-27T08:07:00Z</dcterms:created>
  <dc:creator>Oktató</dc:creator>
</cp:coreProperties>
</file>