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m"/>
        <w:rPr/>
      </w:pPr>
      <w:r>
        <w:rPr/>
        <w:t>Raport de autoevaluare internă a programul de studii Administrarea Afacerilor ( specializarea de licență:Economia Comerțului, Turismului și Serviciilor, de master:Administrarea afacerilor în turism)</w:t>
        <w:br/>
        <w:t>anul universitar 2023/2024</w:t>
      </w:r>
    </w:p>
    <w:p>
      <w:pPr>
        <w:pStyle w:val="Cmsor1"/>
        <w:rPr/>
      </w:pPr>
      <w:r>
        <w:rPr/>
        <w:t>Preambul</w:t>
      </w:r>
    </w:p>
    <w:p>
      <w:pPr>
        <w:pStyle w:val="Szvegtrzs"/>
        <w:rPr/>
      </w:pPr>
      <w:r>
        <w:rPr/>
        <w:t>Raportul de autoevaluare a fost întocmit de către comisia de asigurarea a calității la nivelul programului de studiu Economia Comerțului, Turismului și Serviciilor (Dr. Gyula Florian, conferențiar, președinte, Dr. Edit Veres, lector, membru, și Dr. Imre L</w:t>
      </w:r>
      <w:r>
        <w:rPr>
          <w:lang w:val="hu-HU"/>
        </w:rPr>
        <w:t>ászló Fikó,</w:t>
      </w:r>
      <w:r>
        <w:rPr/>
        <w:t xml:space="preserve"> lector, membru), și respectă prevederile reglementărilor universitare</w:t>
      </w:r>
    </w:p>
    <w:p>
      <w:pPr>
        <w:pStyle w:val="Szvegtrzs"/>
        <w:rPr/>
      </w:pPr>
      <w:r>
        <w:rPr/>
        <w:t xml:space="preserve">Raportul de autoevaluare internă se bazează pe analiza următoarelor documente: </w:t>
      </w:r>
    </w:p>
    <w:p>
      <w:pPr>
        <w:pStyle w:val="Listatartalom"/>
        <w:numPr>
          <w:ilvl w:val="0"/>
          <w:numId w:val="2"/>
        </w:numPr>
        <w:rPr/>
      </w:pPr>
      <w:r>
        <w:rPr/>
        <w:t>planul de învățământ</w:t>
      </w:r>
    </w:p>
    <w:p>
      <w:pPr>
        <w:pStyle w:val="Listatartalom"/>
        <w:numPr>
          <w:ilvl w:val="0"/>
          <w:numId w:val="2"/>
        </w:numPr>
        <w:rPr/>
      </w:pPr>
      <w:r>
        <w:rPr/>
        <w:t>state de funcții</w:t>
      </w:r>
    </w:p>
    <w:p>
      <w:pPr>
        <w:pStyle w:val="Listatartalom"/>
        <w:numPr>
          <w:ilvl w:val="0"/>
          <w:numId w:val="2"/>
        </w:numPr>
        <w:rPr/>
      </w:pPr>
      <w:r>
        <w:rPr/>
        <w:t>procesele verbale ale examenelor de licență</w:t>
      </w:r>
    </w:p>
    <w:p>
      <w:pPr>
        <w:pStyle w:val="Listatartalom"/>
        <w:numPr>
          <w:ilvl w:val="0"/>
          <w:numId w:val="2"/>
        </w:numPr>
        <w:rPr/>
      </w:pPr>
      <w:r>
        <w:rPr/>
        <w:t>statistici privind numărul de studenți din sistemul informatic integrat al universității</w:t>
      </w:r>
    </w:p>
    <w:p>
      <w:pPr>
        <w:pStyle w:val="Listatartalom"/>
        <w:numPr>
          <w:ilvl w:val="0"/>
          <w:numId w:val="2"/>
        </w:numPr>
        <w:rPr/>
      </w:pPr>
      <w:r>
        <w:rPr/>
        <w:t>evaluării cadrelor didactice de către studenți din sistemul informatic integrat al universității</w:t>
      </w:r>
    </w:p>
    <w:p>
      <w:pPr>
        <w:pStyle w:val="Listatartalom"/>
        <w:numPr>
          <w:ilvl w:val="0"/>
          <w:numId w:val="2"/>
        </w:numPr>
        <w:rPr/>
      </w:pPr>
      <w:r>
        <w:rPr/>
        <w:t>centralizatoarele rapoartelor de autoevaluare a cadrelor didactice</w:t>
      </w:r>
    </w:p>
    <w:p>
      <w:pPr>
        <w:pStyle w:val="Listatartalom"/>
        <w:numPr>
          <w:ilvl w:val="0"/>
          <w:numId w:val="2"/>
        </w:numPr>
        <w:rPr/>
      </w:pPr>
      <w:r>
        <w:rPr/>
        <w:t>rapoartele privind activitatea științifică din cadrul Departamentului de Științe Economice</w:t>
      </w:r>
    </w:p>
    <w:p>
      <w:pPr>
        <w:pStyle w:val="Cmsor1"/>
        <w:rPr/>
      </w:pPr>
      <w:r>
        <w:rPr/>
        <w:t>Programul de studii Economia Comerțului, Turismului și Serviciilor</w:t>
      </w:r>
    </w:p>
    <w:p>
      <w:pPr>
        <w:pStyle w:val="Cmsor2"/>
        <w:rPr/>
      </w:pPr>
      <w:r>
        <w:rPr/>
        <w:t>Misiunea programului</w:t>
      </w:r>
    </w:p>
    <w:p>
      <w:pPr>
        <w:pStyle w:val="Szvegtrzs"/>
        <w:rPr/>
      </w:pPr>
      <w:r>
        <w:rPr/>
        <w:t>Misiunea Facultății de Științe Economice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Economia Comerțului, Turismului și Serviciilor.</w:t>
      </w:r>
    </w:p>
    <w:p>
      <w:pPr>
        <w:pStyle w:val="Cmsor2"/>
        <w:rPr/>
      </w:pPr>
      <w:r>
        <w:rPr/>
        <w:t>Obiective de formare</w:t>
      </w:r>
    </w:p>
    <w:p>
      <w:pPr>
        <w:pStyle w:val="Szvegtrzs"/>
        <w:rPr/>
      </w:pPr>
      <w:r>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pPr>
        <w:pStyle w:val="Listatartalom"/>
        <w:numPr>
          <w:ilvl w:val="0"/>
          <w:numId w:val="2"/>
        </w:numPr>
        <w:rPr/>
      </w:pPr>
      <w:r>
        <w:rPr/>
        <w:t>însușirea și aprofundarea informațiilor din domeniul științelor economice</w:t>
      </w:r>
    </w:p>
    <w:p>
      <w:pPr>
        <w:pStyle w:val="Listatartalom"/>
        <w:numPr>
          <w:ilvl w:val="0"/>
          <w:numId w:val="2"/>
        </w:numPr>
        <w:rPr/>
      </w:pPr>
      <w:r>
        <w:rPr/>
        <w:t>formarea unui limbaj științific de specialitate, bazat pe concepte, noțiuni și teorii moderne, de actualitate</w:t>
      </w:r>
    </w:p>
    <w:p>
      <w:pPr>
        <w:pStyle w:val="Listatartalom"/>
        <w:numPr>
          <w:ilvl w:val="0"/>
          <w:numId w:val="2"/>
        </w:numPr>
        <w:rPr/>
      </w:pPr>
      <w:r>
        <w:rPr/>
        <w:t>însușirea demersului metodologic specific cunoașterii economice a fenomenelor din economie</w:t>
      </w:r>
    </w:p>
    <w:p>
      <w:pPr>
        <w:pStyle w:val="Listatartalom"/>
        <w:numPr>
          <w:ilvl w:val="0"/>
          <w:numId w:val="2"/>
        </w:numPr>
        <w:rPr/>
      </w:pPr>
      <w:r>
        <w:rPr/>
        <w:t xml:space="preserve">dezvoltarea aptitudinilor de a cunoaște și de a se relaționa cu oamenii, de a sesiza și studia problemele economice </w:t>
      </w:r>
    </w:p>
    <w:p>
      <w:pPr>
        <w:pStyle w:val="Listatartalom"/>
        <w:numPr>
          <w:ilvl w:val="0"/>
          <w:numId w:val="2"/>
        </w:numPr>
        <w:rPr/>
      </w:pPr>
      <w:r>
        <w:rPr/>
        <w:t>însușirea principalelor paradigme, metode de gândire și de interpretare a societății și a economiei</w:t>
      </w:r>
    </w:p>
    <w:p>
      <w:pPr>
        <w:pStyle w:val="Listatartalom"/>
        <w:numPr>
          <w:ilvl w:val="0"/>
          <w:numId w:val="2"/>
        </w:numPr>
        <w:rPr/>
      </w:pPr>
      <w:r>
        <w:rPr/>
        <w:t>cunoașterea celor mai noi metode și tehnici de investigație sociologică, bazate pe modele statistice avansate, pe folosirea programelor informatice de prelucrare și analiză a bazelor de date</w:t>
      </w:r>
    </w:p>
    <w:p>
      <w:pPr>
        <w:pStyle w:val="Listatartalom"/>
        <w:numPr>
          <w:ilvl w:val="0"/>
          <w:numId w:val="2"/>
        </w:numPr>
        <w:rPr/>
      </w:pPr>
      <w:r>
        <w:rPr/>
        <w:t>însușirea capacității de gestionare a sistemelor de date economice</w:t>
      </w:r>
    </w:p>
    <w:p>
      <w:pPr>
        <w:pStyle w:val="Listatartalom"/>
        <w:numPr>
          <w:ilvl w:val="0"/>
          <w:numId w:val="2"/>
        </w:numPr>
        <w:rPr/>
      </w:pPr>
      <w:r>
        <w:rPr/>
        <w:t>însușirea capacității de identificare, analiză și soluționare a problemelor economice</w:t>
      </w:r>
    </w:p>
    <w:p>
      <w:pPr>
        <w:pStyle w:val="Listatartalom"/>
        <w:numPr>
          <w:ilvl w:val="0"/>
          <w:numId w:val="2"/>
        </w:numPr>
        <w:rPr/>
      </w:pPr>
      <w:r>
        <w:rPr/>
        <w:t>dezvoltarea competențelor profesionale și economice în afacere</w:t>
      </w:r>
    </w:p>
    <w:p>
      <w:pPr>
        <w:pStyle w:val="Listatartalom"/>
        <w:numPr>
          <w:ilvl w:val="0"/>
          <w:numId w:val="2"/>
        </w:numPr>
        <w:rPr/>
      </w:pPr>
      <w:r>
        <w:rPr/>
        <w:t xml:space="preserve">dezvoltarea competențelor de comunicare </w:t>
      </w:r>
    </w:p>
    <w:p>
      <w:pPr>
        <w:pStyle w:val="Listatartalom"/>
        <w:numPr>
          <w:ilvl w:val="0"/>
          <w:numId w:val="2"/>
        </w:numPr>
        <w:rPr/>
      </w:pPr>
      <w:r>
        <w:rPr/>
        <w:t>formarea unor aptitudini de a dialoga economic, precum și dezvoltarea responsabilităților lor în economie</w:t>
      </w:r>
    </w:p>
    <w:p>
      <w:pPr>
        <w:pStyle w:val="Cmsor1"/>
        <w:rPr/>
      </w:pPr>
      <w:r>
        <w:rPr/>
        <w:t>Evaluarea internă anuală a programului de studii  Economia Comerțului,        Turismului și Serviciilor</w:t>
      </w:r>
    </w:p>
    <w:p>
      <w:pPr>
        <w:pStyle w:val="Cmsor2"/>
        <w:rPr/>
      </w:pPr>
      <w:r>
        <w:rPr/>
        <w:t>Procesul de învățământ</w:t>
      </w:r>
    </w:p>
    <w:p>
      <w:pPr>
        <w:pStyle w:val="Cmsor3"/>
        <w:rPr/>
      </w:pPr>
      <w:r>
        <w:rPr/>
        <w:t>Structura anului universitar</w:t>
      </w:r>
    </w:p>
    <w:p>
      <w:pPr>
        <w:pStyle w:val="Szvegtrzs"/>
        <w:rPr/>
      </w:pPr>
      <w:r>
        <w:rPr/>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pPr>
        <w:pStyle w:val="Cmsor3"/>
        <w:rPr/>
      </w:pPr>
      <w:r>
        <w:rPr/>
        <w:t>Practica</w:t>
      </w:r>
    </w:p>
    <w:p>
      <w:pPr>
        <w:pStyle w:val="Szvegtrzs"/>
        <w:jc w:val="both"/>
        <w:rPr/>
      </w:pPr>
      <w:r>
        <w:rPr/>
        <w:t>Practica de specialitate se desfășoară pe parcursul semestrului 4, 6 ore pe săptămână timp de 14 săptămâni (total 84 ore). Semestrul 6 prevede 56 ore de practică pentru pregătire și elaborarea lucrării de licență. Verificarea efectuării practicii de specialitate se realizează de către responsabilul de program din cadrul departamentului și a practicii de licență se realizează sub coordonarea unui cadru didactic.</w:t>
      </w:r>
    </w:p>
    <w:p>
      <w:pPr>
        <w:pStyle w:val="Cmsor3"/>
        <w:rPr/>
      </w:pPr>
      <w:r>
        <w:rPr/>
        <w:t>Flexibilizarea procesului educațional</w:t>
      </w:r>
    </w:p>
    <w:p>
      <w:pPr>
        <w:pStyle w:val="Szvegtrzs"/>
        <w:rPr/>
      </w:pPr>
      <w:r>
        <w:rPr/>
        <w:t>Flexibilizarea programului de studiu este asigurată prin discipline obligatorii, opționale și facultative.</w:t>
      </w:r>
    </w:p>
    <w:p>
      <w:pPr>
        <w:pStyle w:val="Szvegtrzs"/>
        <w:rPr/>
      </w:pPr>
      <w:r>
        <w:rP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pPr>
        <w:pStyle w:val="Szvegtrzs"/>
        <w:rPr/>
      </w:pPr>
      <w:r>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pPr>
        <w:pStyle w:val="Szvegtrzs"/>
        <w:rPr/>
      </w:pPr>
      <w:r>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pPr>
        <w:pStyle w:val="Szvegtrzs"/>
        <w:rPr/>
      </w:pPr>
      <w:r>
        <w:rPr/>
        <w:t>Pregătirea pentru ocuparea unui post în învățământ se face prin promovarea disciplinelor facultative care aparțin modulului pedagogic.</w:t>
      </w:r>
    </w:p>
    <w:p>
      <w:pPr>
        <w:pStyle w:val="Cmsor3"/>
        <w:rPr/>
      </w:pPr>
      <w:r>
        <w:rPr/>
        <w:t>Numărul de ore, credite, bilanțuri</w:t>
      </w:r>
    </w:p>
    <w:p>
      <w:pPr>
        <w:pStyle w:val="Szvegtrzs"/>
        <w:rPr/>
      </w:pPr>
      <w:r>
        <w:rPr/>
        <w:t>Programul de studiu prevede un total de 2068 de ore, din care 88,78% sunt obligatorii, iar 11,22% opționale, raport de curs-practică fiind de 0,84. Din totalul de ore alocate 28,43% sunt utilizate pentru disciplinele fundamentale, 34,53% pentru cele de domeniu, 27,27% sunt alocate disciplinelor de specialitate, restul de 9,77% din totalul orelor fiind folosite pentru discipline complementare.</w:t>
      </w:r>
    </w:p>
    <w:p>
      <w:pPr>
        <w:pStyle w:val="Szvegtrzs"/>
        <w:rPr/>
      </w:pPr>
      <w:r>
        <w:rPr/>
        <w:t>Numărul de credite este 30 pe semestru, 180 în total.</w:t>
      </w:r>
    </w:p>
    <w:p>
      <w:pPr>
        <w:pStyle w:val="Cmsor3"/>
        <w:rPr/>
      </w:pPr>
      <w:r>
        <w:rPr/>
        <w:t>Respectarea standardelor ARACIS</w:t>
      </w:r>
    </w:p>
    <w:p>
      <w:pPr>
        <w:pStyle w:val="Szvegtrzs"/>
        <w:rPr/>
      </w:pPr>
      <w:r>
        <w:rPr/>
        <w:t>Analiza planului de învățământ demonstrează respectarea cerințelor ARACIS privind conținutul procesului de învățământ.</w:t>
      </w:r>
    </w:p>
    <w:p>
      <w:pPr>
        <w:pStyle w:val="Cmsor2"/>
        <w:rPr/>
      </w:pPr>
      <w:r>
        <w:rPr/>
        <w:t>Resursa umană</w:t>
      </w:r>
    </w:p>
    <w:p>
      <w:pPr>
        <w:pStyle w:val="Normal"/>
        <w:keepNext w:val="true"/>
        <w:numPr>
          <w:ilvl w:val="0"/>
          <w:numId w:val="0"/>
        </w:numPr>
        <w:tabs>
          <w:tab w:val="clear" w:pos="709"/>
          <w:tab w:val="left" w:pos="0" w:leader="none"/>
        </w:tabs>
        <w:spacing w:before="142" w:after="170"/>
        <w:ind w:start="0" w:hanging="0"/>
        <w:outlineLvl w:val="2"/>
        <w:rPr>
          <w:rFonts w:eastAsia="Noto Sans CJK SC"/>
          <w:bCs/>
          <w:i/>
          <w:i/>
          <w:iCs/>
          <w:szCs w:val="28"/>
        </w:rPr>
      </w:pPr>
      <w:r>
        <w:rPr>
          <w:rFonts w:eastAsia="Noto Sans CJK SC"/>
          <w:bCs/>
          <w:i/>
          <w:iCs/>
          <w:szCs w:val="28"/>
        </w:rPr>
        <w:t>3.2.1 Prezentare generală</w:t>
      </w:r>
    </w:p>
    <w:p>
      <w:pPr>
        <w:pStyle w:val="Normal"/>
        <w:suppressAutoHyphens w:val="false"/>
        <w:spacing w:lineRule="auto" w:line="276" w:before="0" w:after="140"/>
        <w:jc w:val="both"/>
        <w:rPr/>
      </w:pPr>
      <w:r>
        <w:rPr/>
        <w:t>În anul universitar 2023/2024 la specializarea Economia Comerțului, Turismului și Serviciilor a fost deservită de 35 de cadre didactice, din care 23 titulari și 12 asociați ori asociați cu contract de muncă pe perioada determinată. Cadrele didactice au provenit de la trei departamente,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2006"/>
        <w:gridCol w:w="1799"/>
        <w:gridCol w:w="1280"/>
        <w:gridCol w:w="1800"/>
        <w:gridCol w:w="1472"/>
        <w:gridCol w:w="1280"/>
      </w:tblGrid>
      <w:tr>
        <w:trPr>
          <w:tblHeader w:val="true"/>
          <w:trHeight w:val="256" w:hRule="atLeast"/>
        </w:trPr>
        <w:tc>
          <w:tcPr>
            <w:tcW w:w="2006"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Departament</w:t>
            </w:r>
          </w:p>
        </w:tc>
        <w:tc>
          <w:tcPr>
            <w:tcW w:w="1799"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Grad</w:t>
            </w:r>
          </w:p>
        </w:tc>
        <w:tc>
          <w:tcPr>
            <w:tcW w:w="1280"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w:t>
            </w:r>
          </w:p>
        </w:tc>
        <w:tc>
          <w:tcPr>
            <w:tcW w:w="1800"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 determinat</w:t>
            </w:r>
          </w:p>
        </w:tc>
        <w:tc>
          <w:tcPr>
            <w:tcW w:w="1472"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Titular</w:t>
            </w:r>
          </w:p>
        </w:tc>
        <w:tc>
          <w:tcPr>
            <w:tcW w:w="128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suppressLineNumbers/>
              <w:spacing w:lineRule="auto" w:line="276"/>
              <w:jc w:val="center"/>
              <w:rPr>
                <w:b/>
                <w:b/>
                <w:bCs/>
                <w:sz w:val="20"/>
              </w:rPr>
            </w:pPr>
            <w:r>
              <w:rPr>
                <w:b/>
                <w:bCs/>
                <w:sz w:val="20"/>
              </w:rPr>
              <w:t>Total</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Economie</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6</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8</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8</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9</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4</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3</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7</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Limbă și literatură</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Științe Socio-Umane</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Total</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8</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4</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23</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b/>
                <w:b/>
                <w:bCs/>
                <w:sz w:val="20"/>
              </w:rPr>
            </w:pPr>
            <w:r>
              <w:rPr>
                <w:b/>
                <w:bCs/>
                <w:sz w:val="20"/>
              </w:rPr>
              <w:t>35</w:t>
            </w:r>
          </w:p>
        </w:tc>
      </w:tr>
    </w:tbl>
    <w:p>
      <w:pPr>
        <w:pStyle w:val="Normal"/>
        <w:suppressAutoHyphens w:val="false"/>
        <w:spacing w:lineRule="auto" w:line="276" w:before="0" w:after="140"/>
        <w:rPr/>
      </w:pPr>
      <w:r>
        <w:rPr/>
      </w:r>
    </w:p>
    <w:p>
      <w:pPr>
        <w:pStyle w:val="Normal"/>
        <w:suppressAutoHyphens w:val="false"/>
        <w:spacing w:lineRule="auto" w:line="276" w:before="0" w:after="140"/>
        <w:jc w:val="both"/>
        <w:rPr/>
      </w:pPr>
      <w:r>
        <w:rPr/>
        <w:t>Din totalul cadrelor didactice 26 au avut titlul de doctor, 23 titulari și 12 asociați ori asociați cu contract de muncă pe perioadă determinată.</w:t>
      </w:r>
    </w:p>
    <w:p>
      <w:pPr>
        <w:pStyle w:val="Normal"/>
        <w:keepNext w:val="true"/>
        <w:numPr>
          <w:ilvl w:val="0"/>
          <w:numId w:val="0"/>
        </w:numPr>
        <w:tabs>
          <w:tab w:val="clear" w:pos="709"/>
          <w:tab w:val="left" w:pos="0" w:leader="none"/>
        </w:tabs>
        <w:spacing w:before="142" w:after="170"/>
        <w:ind w:start="0" w:hanging="0"/>
        <w:outlineLvl w:val="2"/>
        <w:rPr>
          <w:rFonts w:eastAsia="Noto Sans CJK SC"/>
          <w:bCs/>
          <w:i/>
          <w:i/>
          <w:szCs w:val="28"/>
        </w:rPr>
      </w:pPr>
      <w:r>
        <w:rPr>
          <w:rFonts w:eastAsia="Noto Sans CJK SC"/>
          <w:bCs/>
          <w:i/>
          <w:szCs w:val="28"/>
        </w:rPr>
        <w:t>3.2.2. Evaluarea cadrelor didactice de către studenții</w:t>
      </w:r>
    </w:p>
    <w:p>
      <w:pPr>
        <w:pStyle w:val="Normal"/>
        <w:suppressAutoHyphens w:val="false"/>
        <w:spacing w:lineRule="auto" w:line="276" w:before="0" w:after="140"/>
        <w:rPr/>
      </w:pPr>
      <w:r>
        <w:rPr/>
        <w:t>Punctajul mediu obținut de cadrele didactice, în funcție de grad didactic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Grad didactic</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Asistent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4,59</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Lector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Conferențiar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Profesor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4,39</w:t>
            </w:r>
          </w:p>
        </w:tc>
      </w:tr>
    </w:tbl>
    <w:p>
      <w:pPr>
        <w:pStyle w:val="Normal"/>
        <w:suppressAutoHyphens w:val="false"/>
        <w:spacing w:lineRule="auto" w:line="276" w:before="0" w:after="140"/>
        <w:rPr/>
      </w:pPr>
      <w:r>
        <w:rPr/>
        <w:t>Punctajul mediu obținut de cadrele didactice, în funcție de categoria contractului de muncă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Asociat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4,12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Asociat determinat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Titular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4,53</w:t>
            </w:r>
          </w:p>
        </w:tc>
      </w:tr>
    </w:tbl>
    <w:p>
      <w:pPr>
        <w:pStyle w:val="Normal"/>
        <w:suppressAutoHyphens w:val="false"/>
        <w:spacing w:lineRule="auto" w:line="276" w:before="0" w:after="140"/>
        <w:rPr/>
      </w:pPr>
      <w:r>
        <w:rPr/>
        <w:t>Punctajul mediu obținut de cadrele didactice, în funcție de departament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Economie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Limbă și literatură</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4,72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Științe Socio-Umane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4,50</w:t>
            </w:r>
          </w:p>
        </w:tc>
      </w:tr>
    </w:tbl>
    <w:p>
      <w:pPr>
        <w:pStyle w:val="Cmsor1"/>
        <w:numPr>
          <w:ilvl w:val="2"/>
          <w:numId w:val="3"/>
        </w:numPr>
        <w:tabs>
          <w:tab w:val="clear" w:pos="709"/>
          <w:tab w:val="left" w:pos="360" w:leader="none"/>
        </w:tabs>
        <w:ind w:start="0" w:hanging="0"/>
        <w:rPr>
          <w:b w:val="false"/>
          <w:b w:val="false"/>
          <w:bCs w:val="false"/>
          <w:i/>
          <w:i/>
          <w:iCs/>
          <w:sz w:val="24"/>
          <w:szCs w:val="24"/>
        </w:rPr>
      </w:pPr>
      <w:r>
        <w:rPr>
          <w:b w:val="false"/>
          <w:bCs w:val="false"/>
          <w:i/>
          <w:iCs/>
          <w:sz w:val="24"/>
          <w:szCs w:val="24"/>
        </w:rPr>
        <w:t>Evaluarea generală a cadrelor didactice</w:t>
      </w:r>
    </w:p>
    <w:p>
      <w:pPr>
        <w:pStyle w:val="Normal"/>
        <w:suppressAutoHyphens w:val="false"/>
        <w:spacing w:lineRule="auto" w:line="276" w:before="0" w:after="140"/>
        <w:jc w:val="both"/>
        <w:rPr/>
      </w:pPr>
      <w:r>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pPr>
        <w:pStyle w:val="Normal"/>
        <w:suppressAutoHyphens w:val="false"/>
        <w:spacing w:lineRule="auto" w:line="276" w:before="0" w:after="140"/>
        <w:jc w:val="both"/>
        <w:rPr/>
      </w:pPr>
      <w:r>
        <w:rPr/>
        <w:t>Calificativele obținute pe anul 2023 de către cadrele didactice, care predă la programul de studiu Economia Comerțului, Turismului și Serviciilor:</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Calificativ</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Nr. cadre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Bun</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Foarte bun</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14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Informații nedisponibile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w:t>
            </w:r>
          </w:p>
        </w:tc>
      </w:tr>
    </w:tbl>
    <w:p>
      <w:pPr>
        <w:pStyle w:val="Cmsor2"/>
        <w:rPr/>
      </w:pPr>
      <w:r>
        <w:rPr/>
        <w:t>Studenții</w:t>
      </w:r>
    </w:p>
    <w:p>
      <w:pPr>
        <w:pStyle w:val="NormalWeb"/>
        <w:shd w:val="clear" w:color="auto" w:fill="FFFFFF"/>
        <w:spacing w:lineRule="atLeast" w:line="276" w:beforeAutospacing="0" w:before="0" w:afterAutospacing="0" w:after="140"/>
        <w:rPr/>
      </w:pPr>
      <w:r>
        <w:rPr/>
        <w:t>În anul universitar 2023/2024 specializarea ECTS a avut un număr de 67 de studenți, după cum urmează:</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 33</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II: 18</w:t>
      </w:r>
    </w:p>
    <w:p>
      <w:pPr>
        <w:pStyle w:val="NormalWeb"/>
        <w:shd w:val="clear" w:color="auto" w:fill="FFFFFF"/>
        <w:spacing w:lineRule="atLeast" w:line="276" w:beforeAutospacing="0" w:before="0" w:afterAutospacing="0" w:after="113"/>
        <w:ind w:start="170" w:hanging="0"/>
        <w:rPr/>
      </w:pPr>
      <w:r>
        <w:rPr>
          <w:rFonts w:ascii="Symbol" w:hAnsi="Symbol"/>
        </w:rPr>
        <w:t>-</w:t>
      </w:r>
      <w:r>
        <w:rPr>
          <w:sz w:val="14"/>
          <w:szCs w:val="14"/>
        </w:rPr>
        <w:t> </w:t>
      </w:r>
      <w:r>
        <w:rPr/>
        <w:t>Studenți anul III: 16</w:t>
      </w:r>
    </w:p>
    <w:p>
      <w:pPr>
        <w:pStyle w:val="NormalWeb"/>
        <w:shd w:val="clear" w:color="auto" w:fill="FFFFFF"/>
        <w:spacing w:lineRule="atLeast" w:line="276" w:beforeAutospacing="0" w:before="0" w:afterAutospacing="0" w:after="140"/>
        <w:rPr/>
      </w:pPr>
      <w:r>
        <w:rPr/>
        <w:t>Din studenții de anul III 9 au luat examenul de licență.</w:t>
      </w:r>
    </w:p>
    <w:p>
      <w:pPr>
        <w:pStyle w:val="NormalWeb"/>
        <w:shd w:val="clear" w:color="auto" w:fill="FFFFFF"/>
        <w:spacing w:lineRule="atLeast" w:line="276" w:beforeAutospacing="0" w:before="0" w:afterAutospacing="0" w:after="140"/>
        <w:rPr/>
      </w:pPr>
      <w:r>
        <w:rPr/>
        <w:t>În anul universitar 2023/2024 specializarea Administrarea afaceriilor a avut un număr de 0 de studenți, după cum urmează:</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 0</w:t>
      </w:r>
    </w:p>
    <w:p>
      <w:pPr>
        <w:pStyle w:val="NormalWeb"/>
        <w:shd w:val="clear" w:color="auto" w:fill="FFFFFF"/>
        <w:spacing w:lineRule="atLeast" w:line="276" w:beforeAutospacing="0" w:before="0" w:afterAutospacing="0" w:after="113"/>
        <w:ind w:start="170" w:hanging="0"/>
        <w:rPr/>
      </w:pPr>
      <w:r>
        <w:rPr>
          <w:rFonts w:ascii="Symbol" w:hAnsi="Symbol"/>
        </w:rPr>
        <w:t>-</w:t>
      </w:r>
      <w:r>
        <w:rPr>
          <w:sz w:val="14"/>
          <w:szCs w:val="14"/>
        </w:rPr>
        <w:t> </w:t>
      </w:r>
      <w:r>
        <w:rPr/>
        <w:t>Studenți anul II:0</w:t>
      </w:r>
    </w:p>
    <w:p>
      <w:pPr>
        <w:pStyle w:val="NormalWeb"/>
        <w:shd w:val="clear" w:color="auto" w:fill="FFFFFF"/>
        <w:spacing w:lineRule="atLeast" w:line="276" w:beforeAutospacing="0" w:before="0" w:afterAutospacing="0" w:after="140"/>
        <w:rPr/>
      </w:pPr>
      <w:r>
        <w:rPr/>
        <w:t>Din studenții de anul II 0 a promovat examenul de finalizarea a studiilor.</w:t>
      </w:r>
    </w:p>
    <w:p>
      <w:pPr>
        <w:pStyle w:val="Cmsor2"/>
        <w:jc w:val="both"/>
        <w:rPr/>
      </w:pPr>
      <w:r>
        <w:rPr/>
        <w:t>Cercetarea științifică</w:t>
      </w:r>
    </w:p>
    <w:p>
      <w:pPr>
        <w:pStyle w:val="Normal"/>
        <w:suppressAutoHyphens w:val="false"/>
        <w:spacing w:lineRule="auto" w:line="276" w:before="0" w:after="140"/>
        <w:jc w:val="both"/>
        <w:rPr/>
      </w:pPr>
      <w:r>
        <w:rPr/>
        <w:t>La capitolul de cercetare științifică ne referim la realizările colectivului de la Departamentul de Economie, la care aparține programul de studiu Economia Comerțului, Turismului și Serviciilor.</w:t>
      </w:r>
    </w:p>
    <w:p>
      <w:pPr>
        <w:pStyle w:val="Cmsor3"/>
        <w:rPr/>
      </w:pPr>
      <w:r>
        <w:rPr/>
        <w:t>Publicații internaționale și naționale</w:t>
      </w:r>
    </w:p>
    <w:tbl>
      <w:tblPr>
        <w:tblW w:w="5000" w:type="pct"/>
        <w:jc w:val="start"/>
        <w:tblInd w:w="-15" w:type="dxa"/>
        <w:tblLayout w:type="fixed"/>
        <w:tblCellMar>
          <w:top w:w="0" w:type="dxa"/>
          <w:start w:w="15" w:type="dxa"/>
          <w:bottom w:w="0" w:type="dxa"/>
          <w:end w:w="2" w:type="dxa"/>
        </w:tblCellMar>
        <w:tblLook w:firstRow="1" w:noVBand="1" w:lastRow="0" w:firstColumn="1" w:lastColumn="0" w:noHBand="0" w:val="04a0"/>
      </w:tblPr>
      <w:tblGrid>
        <w:gridCol w:w="2784"/>
        <w:gridCol w:w="5522"/>
        <w:gridCol w:w="1332"/>
      </w:tblGrid>
      <w:tr>
        <w:trPr>
          <w:tblHeader w:val="true"/>
          <w:trHeight w:val="342" w:hRule="atLeast"/>
        </w:trPr>
        <w:tc>
          <w:tcPr>
            <w:tcW w:w="2784" w:type="dxa"/>
            <w:tcBorders>
              <w:top w:val="single" w:sz="12" w:space="0" w:color="000000"/>
              <w:start w:val="single" w:sz="12" w:space="0" w:color="000000"/>
              <w:bottom w:val="single" w:sz="2" w:space="0" w:color="000000"/>
              <w:end w:val="single" w:sz="2" w:space="0" w:color="000000"/>
            </w:tcBorders>
          </w:tcPr>
          <w:p>
            <w:pPr>
              <w:pStyle w:val="Normal"/>
              <w:widowControl w:val="false"/>
              <w:suppressLineNumbers/>
              <w:spacing w:lineRule="auto" w:line="276"/>
              <w:jc w:val="center"/>
              <w:rPr>
                <w:b/>
                <w:b/>
                <w:bCs/>
                <w:sz w:val="20"/>
              </w:rPr>
            </w:pPr>
            <w:r>
              <w:rPr>
                <w:b/>
                <w:bCs/>
                <w:sz w:val="20"/>
              </w:rPr>
              <w:t>Categoria publicației</w:t>
            </w:r>
          </w:p>
        </w:tc>
        <w:tc>
          <w:tcPr>
            <w:tcW w:w="5522" w:type="dxa"/>
            <w:tcBorders>
              <w:top w:val="single" w:sz="12" w:space="0" w:color="000000"/>
              <w:start w:val="single" w:sz="2" w:space="0" w:color="000000"/>
              <w:bottom w:val="single" w:sz="2" w:space="0" w:color="000000"/>
              <w:end w:val="single" w:sz="2" w:space="0" w:color="000000"/>
            </w:tcBorders>
          </w:tcPr>
          <w:p>
            <w:pPr>
              <w:pStyle w:val="Normal"/>
              <w:widowControl w:val="false"/>
              <w:suppressLineNumbers/>
              <w:spacing w:lineRule="auto" w:line="276"/>
              <w:jc w:val="center"/>
              <w:rPr>
                <w:b/>
                <w:b/>
                <w:bCs/>
                <w:sz w:val="20"/>
              </w:rPr>
            </w:pPr>
            <w:r>
              <w:rPr>
                <w:b/>
                <w:bCs/>
                <w:sz w:val="20"/>
              </w:rPr>
              <w:t>Subcategoria publicației</w:t>
            </w:r>
          </w:p>
        </w:tc>
        <w:tc>
          <w:tcPr>
            <w:tcW w:w="1332" w:type="dxa"/>
            <w:tcBorders>
              <w:top w:val="single" w:sz="1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Număr</w:t>
            </w:r>
          </w:p>
        </w:tc>
      </w:tr>
      <w:tr>
        <w:trPr>
          <w:trHeight w:val="607"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Internaţional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3</w:t>
            </w:r>
          </w:p>
        </w:tc>
      </w:tr>
      <w:tr>
        <w:trPr>
          <w:trHeight w:val="340"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3</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Articol publicat în volum de conferinţă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6</w:t>
            </w:r>
          </w:p>
        </w:tc>
      </w:tr>
      <w:tr>
        <w:trPr>
          <w:trHeight w:val="531"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cotate ISI</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9</w:t>
            </w:r>
          </w:p>
        </w:tc>
      </w:tr>
      <w:tr>
        <w:trPr>
          <w:trHeight w:val="75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indexate în baze de date internaţionale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11</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străinătate fără cotaţie ISI</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2</w:t>
            </w:r>
          </w:p>
        </w:tc>
      </w:tr>
      <w:tr>
        <w:trPr>
          <w:trHeight w:val="606"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(alte categorii - C şi D)</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870"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CNCS (altele decât cele din baze de date internaţionale)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altele decât cele menţionate anterior</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w:t>
            </w:r>
          </w:p>
        </w:tc>
      </w:tr>
      <w:tr>
        <w:trPr>
          <w:trHeight w:val="341"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Articol ştiinţific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23</w:t>
            </w:r>
          </w:p>
        </w:tc>
      </w:tr>
      <w:tr>
        <w:trPr>
          <w:trHeight w:val="871" w:hRule="atLeast"/>
        </w:trPr>
        <w:tc>
          <w:tcPr>
            <w:tcW w:w="2784" w:type="dxa"/>
            <w:tcBorders>
              <w:top w:val="single" w:sz="2" w:space="0" w:color="000000"/>
              <w:start w:val="single" w:sz="1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5522" w:type="dxa"/>
            <w:tcBorders>
              <w:top w:val="single" w:sz="2" w:space="0" w:color="000000"/>
              <w:start w:val="single" w:sz="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87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Cărţi (manuale, monografii, tratate, îndrumare etc.) publicate pe web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edituri recunoscute în străinătate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CNCSIS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alte edituri sau pe plan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Manual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0</w:t>
            </w:r>
          </w:p>
        </w:tc>
      </w:tr>
      <w:tr>
        <w:trPr>
          <w:trHeight w:val="531" w:hRule="atLeast"/>
        </w:trPr>
        <w:tc>
          <w:tcPr>
            <w:tcW w:w="2784" w:type="dxa"/>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3</w:t>
            </w:r>
          </w:p>
        </w:tc>
      </w:tr>
      <w:tr>
        <w:trPr>
          <w:trHeight w:val="605"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3</w:t>
            </w:r>
          </w:p>
        </w:tc>
      </w:tr>
      <w:tr>
        <w:trPr>
          <w:trHeight w:val="606" w:hRule="atLeast"/>
        </w:trPr>
        <w:tc>
          <w:tcPr>
            <w:tcW w:w="2784" w:type="dxa"/>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755"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0</w:t>
            </w:r>
          </w:p>
        </w:tc>
      </w:tr>
      <w:tr>
        <w:trPr>
          <w:trHeight w:val="757"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edituri recunoscute în străinătate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w:t>
            </w:r>
          </w:p>
        </w:tc>
      </w:tr>
      <w:tr>
        <w:trPr>
          <w:trHeight w:val="75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CNCSIS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75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alte edituri sau pe plan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Volum individual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1</w:t>
            </w:r>
          </w:p>
        </w:tc>
      </w:tr>
      <w:tr>
        <w:trPr>
          <w:trHeight w:val="341"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în volum ştiinţific colectiv</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Internaţional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53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în volum ştiinţific colectiv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1</w:t>
            </w:r>
          </w:p>
        </w:tc>
      </w:tr>
      <w:tr>
        <w:trPr>
          <w:trHeight w:val="342" w:hRule="atLeast"/>
        </w:trPr>
        <w:tc>
          <w:tcPr>
            <w:tcW w:w="8306" w:type="dxa"/>
            <w:gridSpan w:val="2"/>
            <w:tcBorders>
              <w:top w:val="single" w:sz="2" w:space="0" w:color="000000"/>
              <w:start w:val="single" w:sz="12" w:space="0" w:color="000000"/>
              <w:bottom w:val="single" w:sz="12" w:space="0" w:color="000000"/>
              <w:end w:val="single" w:sz="2" w:space="0" w:color="000000"/>
            </w:tcBorders>
          </w:tcPr>
          <w:p>
            <w:pPr>
              <w:pStyle w:val="Normal"/>
              <w:widowControl w:val="false"/>
              <w:suppressLineNumbers/>
              <w:spacing w:lineRule="auto" w:line="276"/>
              <w:rPr>
                <w:sz w:val="20"/>
              </w:rPr>
            </w:pPr>
            <w:r>
              <w:rPr>
                <w:sz w:val="20"/>
              </w:rPr>
              <w:t>Total general</w:t>
            </w:r>
          </w:p>
        </w:tc>
        <w:tc>
          <w:tcPr>
            <w:tcW w:w="1332" w:type="dxa"/>
            <w:tcBorders>
              <w:top w:val="single" w:sz="2" w:space="0" w:color="000000"/>
              <w:start w:val="single" w:sz="2" w:space="0" w:color="000000"/>
              <w:bottom w:val="single" w:sz="12" w:space="0" w:color="000000"/>
              <w:end w:val="single" w:sz="12" w:space="0" w:color="000000"/>
            </w:tcBorders>
          </w:tcPr>
          <w:p>
            <w:pPr>
              <w:pStyle w:val="Tblzattartalom"/>
              <w:widowControl w:val="false"/>
              <w:jc w:val="center"/>
              <w:rPr>
                <w:b/>
                <w:b/>
                <w:bCs/>
              </w:rPr>
            </w:pPr>
            <w:r>
              <w:rPr>
                <w:b/>
                <w:bCs/>
              </w:rPr>
              <w:t>34</w:t>
            </w:r>
          </w:p>
        </w:tc>
      </w:tr>
    </w:tbl>
    <w:p>
      <w:pPr>
        <w:pStyle w:val="Cmsor3"/>
        <w:rPr/>
      </w:pPr>
      <w:r>
        <w:rPr/>
        <w:t>Prezentări la conferințe științifice</w:t>
      </w:r>
    </w:p>
    <w:tbl>
      <w:tblPr>
        <w:tblW w:w="5000" w:type="pct"/>
        <w:jc w:val="start"/>
        <w:tblInd w:w="-6" w:type="dxa"/>
        <w:tblLayout w:type="fixed"/>
        <w:tblCellMar>
          <w:top w:w="55" w:type="dxa"/>
          <w:start w:w="55" w:type="dxa"/>
          <w:bottom w:w="55" w:type="dxa"/>
          <w:end w:w="55" w:type="dxa"/>
        </w:tblCellMar>
        <w:tblLook w:firstRow="1" w:noVBand="1" w:lastRow="0" w:firstColumn="1" w:lastColumn="0" w:noHBand="0" w:val="04a0"/>
      </w:tblPr>
      <w:tblGrid>
        <w:gridCol w:w="6353"/>
        <w:gridCol w:w="3284"/>
      </w:tblGrid>
      <w:tr>
        <w:trPr>
          <w:trHeight w:val="306" w:hRule="atLeast"/>
        </w:trPr>
        <w:tc>
          <w:tcPr>
            <w:tcW w:w="6353" w:type="dxa"/>
            <w:tcBorders>
              <w:top w:val="single" w:sz="6" w:space="0" w:color="000000"/>
              <w:start w:val="single" w:sz="6" w:space="0" w:color="000000"/>
              <w:bottom w:val="single" w:sz="6" w:space="0" w:color="000000"/>
            </w:tcBorders>
          </w:tcPr>
          <w:p>
            <w:pPr>
              <w:pStyle w:val="Normal"/>
              <w:widowControl w:val="false"/>
              <w:suppressLineNumbers/>
              <w:spacing w:lineRule="auto" w:line="276"/>
              <w:jc w:val="center"/>
              <w:rPr>
                <w:b/>
                <w:b/>
                <w:bCs/>
                <w:sz w:val="20"/>
              </w:rPr>
            </w:pPr>
            <w:r>
              <w:rPr>
                <w:b/>
                <w:bCs/>
                <w:sz w:val="20"/>
              </w:rPr>
              <w:t>Tip conferință</w:t>
            </w:r>
          </w:p>
        </w:tc>
        <w:tc>
          <w:tcPr>
            <w:tcW w:w="3284" w:type="dxa"/>
            <w:tcBorders>
              <w:top w:val="single" w:sz="6" w:space="0" w:color="000000"/>
              <w:start w:val="single" w:sz="6" w:space="0" w:color="000000"/>
              <w:bottom w:val="single" w:sz="6" w:space="0" w:color="000000"/>
              <w:end w:val="single" w:sz="6" w:space="0" w:color="000000"/>
            </w:tcBorders>
          </w:tcPr>
          <w:p>
            <w:pPr>
              <w:pStyle w:val="Normal"/>
              <w:widowControl w:val="false"/>
              <w:suppressLineNumbers/>
              <w:spacing w:lineRule="auto" w:line="276"/>
              <w:jc w:val="center"/>
              <w:rPr>
                <w:b/>
                <w:b/>
                <w:bCs/>
                <w:sz w:val="20"/>
              </w:rPr>
            </w:pPr>
            <w:r>
              <w:rPr>
                <w:b/>
                <w:bCs/>
                <w:sz w:val="20"/>
              </w:rPr>
              <w:t>Număr</w:t>
            </w:r>
          </w:p>
        </w:tc>
      </w:tr>
      <w:tr>
        <w:trPr>
          <w:trHeight w:val="305"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Locală</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pPr>
            <w:r>
              <w:rPr/>
              <w:t>1</w:t>
            </w:r>
          </w:p>
        </w:tc>
      </w:tr>
      <w:tr>
        <w:trPr>
          <w:trHeight w:val="307"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Naţională</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pPr>
            <w:r>
              <w:rPr/>
              <w:t>1</w:t>
            </w:r>
          </w:p>
        </w:tc>
      </w:tr>
      <w:tr>
        <w:trPr>
          <w:trHeight w:val="305"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Internaţională</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pPr>
            <w:r>
              <w:rPr/>
              <w:t>18</w:t>
            </w:r>
          </w:p>
        </w:tc>
      </w:tr>
      <w:tr>
        <w:trPr>
          <w:trHeight w:val="306" w:hRule="atLeast"/>
        </w:trPr>
        <w:tc>
          <w:tcPr>
            <w:tcW w:w="6353" w:type="dxa"/>
            <w:tcBorders>
              <w:start w:val="single" w:sz="6" w:space="0" w:color="000000"/>
              <w:bottom w:val="single" w:sz="6" w:space="0" w:color="000000"/>
            </w:tcBorders>
          </w:tcPr>
          <w:p>
            <w:pPr>
              <w:pStyle w:val="Normal"/>
              <w:widowControl w:val="false"/>
              <w:suppressLineNumbers/>
              <w:spacing w:lineRule="auto" w:line="276"/>
              <w:rPr>
                <w:b/>
                <w:b/>
                <w:bCs/>
                <w:sz w:val="20"/>
              </w:rPr>
            </w:pPr>
            <w:r>
              <w:rPr>
                <w:b/>
                <w:bCs/>
                <w:sz w:val="20"/>
              </w:rPr>
              <w:t>Total</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b/>
                <w:b/>
                <w:bCs/>
              </w:rPr>
            </w:pPr>
            <w:r>
              <w:rPr>
                <w:b/>
                <w:bCs/>
              </w:rPr>
              <w:t>20</w:t>
            </w:r>
          </w:p>
        </w:tc>
      </w:tr>
    </w:tbl>
    <w:p>
      <w:pPr>
        <w:pStyle w:val="Cmsor2"/>
        <w:rPr/>
      </w:pPr>
      <w:r>
        <w:rPr/>
        <w:t>Resurse materiale</w:t>
      </w:r>
    </w:p>
    <w:p>
      <w:pPr>
        <w:pStyle w:val="Normal"/>
        <w:suppressAutoHyphens w:val="false"/>
        <w:spacing w:lineRule="auto" w:line="276" w:before="0" w:after="140"/>
        <w:jc w:val="both"/>
        <w:rPr/>
      </w:pPr>
      <w:r>
        <w:rPr/>
        <w:t>Specializarea Economia Comerțului, Turismului și Serviciilor are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20-30 de locuri și un număr suficient de calculatoare. Cadrele didactice au la dispoziție două săli de profesori, ambele aparținând Departamentului de Economie, fiecare fiind dotată cu imprimantă laser și calculator desktop.</w:t>
      </w:r>
    </w:p>
    <w:p>
      <w:pPr>
        <w:pStyle w:val="Normal"/>
        <w:suppressAutoHyphens w:val="false"/>
        <w:spacing w:lineRule="auto" w:line="276" w:before="0" w:after="140"/>
        <w:jc w:val="both"/>
        <w:rPr/>
      </w:pPr>
      <w:r>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2">
        <w:r>
          <w:rPr>
            <w:u w:val="single"/>
          </w:rPr>
          <w:t>https://opac3.partium.qulto.ro</w:t>
        </w:r>
      </w:hyperlink>
      <w:r>
        <w:rPr/>
        <w:t xml:space="preserve">. Resursele sunt completate cu baze de date internaționale, vezi lista actuală pe </w:t>
      </w:r>
      <w:hyperlink r:id="rId3">
        <w:r>
          <w:rPr>
            <w:u w:val="single"/>
          </w:rPr>
          <w:t>https://sites.google.com/partium.ro/resursestiinifice</w:t>
        </w:r>
      </w:hyperlink>
      <w:r>
        <w:rPr/>
        <w:t>.</w:t>
      </w:r>
    </w:p>
    <w:p>
      <w:pPr>
        <w:pStyle w:val="Normal"/>
        <w:suppressAutoHyphens w:val="false"/>
        <w:spacing w:lineRule="auto" w:line="276" w:before="0" w:after="140"/>
        <w:jc w:val="both"/>
        <w:rPr/>
      </w:pPr>
      <w:r>
        <w:rPr/>
        <w:t>Accesul la internet wireless este gratuit pe tot teritoriul campusului universitar, iar studenții au posibilitate de scanare/printare la biblioteca universității.</w:t>
      </w:r>
    </w:p>
    <w:p>
      <w:pPr>
        <w:pStyle w:val="Cmsor2"/>
        <w:numPr>
          <w:ilvl w:val="0"/>
          <w:numId w:val="0"/>
        </w:numPr>
        <w:spacing w:before="198" w:after="227"/>
        <w:ind w:start="0" w:hanging="0"/>
        <w:rPr/>
      </w:pPr>
      <w:r>
        <w:rPr/>
      </w:r>
    </w:p>
    <w:sectPr>
      <w:headerReference w:type="first" r:id="rId4"/>
      <w:footerReference w:type="even" r:id="rId5"/>
      <w:footerReference w:type="default" r:id="rId6"/>
      <w:footerReference w:type="first" r:id="rId7"/>
      <w:type w:val="nextPage"/>
      <w:pgSz w:w="11906" w:h="16838"/>
      <w:pgMar w:left="1134" w:right="1134" w:header="1134" w:top="1984" w:footer="1134" w:bottom="1693"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Mono">
    <w:altName w:val="Courier New"/>
    <w:charset w:val="00" w:characterSet="windows-1252"/>
    <w:family w:val="roman"/>
    <w:pitch w:val="variable"/>
  </w:font>
  <w:font w:name="Symbol">
    <w:charset w:val="00" w:characterSet="windows-1252"/>
    <w:family w:val="roman"/>
    <w:pitch w:val="variable"/>
  </w:font>
  <w:font w:name="Arial">
    <w:charset w:val="00" w:characterSet="windows-1252"/>
    <w:family w:val="roman"/>
    <w:pitch w:val="variable"/>
  </w:font>
  <w:font w:name="Modern No. 20">
    <w:charset w:val="00" w:characterSet="windows-1252"/>
    <w:family w:val="roman"/>
    <w:pitch w:val="variable"/>
  </w:font>
  <w:font w:name="Cambria">
    <w:charset w:val="00" w:characterSet="windows-1252"/>
    <w:family w:val="roman"/>
    <w:pitch w:val="variable"/>
  </w:font>
  <w:font w:name="Shonar Bangla">
    <w:charset w:val="00" w:characterSet="windows-1252"/>
    <w:family w:val="roman"/>
    <w:pitch w:val="variable"/>
  </w:font>
  <w:font w:name="Arial Narrow">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fldChar w:fldCharType="begin"/>
    </w:r>
    <w:r>
      <w:rPr/>
      <w:instrText> PAGE </w:instrText>
    </w:r>
    <w:r>
      <w:rPr/>
      <w:fldChar w:fldCharType="separate"/>
    </w:r>
    <w:r>
      <w:rPr/>
      <w:t>4</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0" w:name="PageNumWizard_FOOTER_Default_Page_Style4"/>
    <w:r>
      <w:rPr/>
      <w:fldChar w:fldCharType="begin"/>
    </w:r>
    <w:r>
      <w:rPr/>
      <w:instrText> PAGE </w:instrText>
    </w:r>
    <w:r>
      <w:rPr/>
      <w:fldChar w:fldCharType="separate"/>
    </w:r>
    <w:r>
      <w:rPr/>
      <w:t>5</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1" w:name="PageNumWizard_FOOTER_Default_Page_Style1"/>
    <w:r>
      <w:rPr/>
      <w:fldChar w:fldCharType="begin"/>
    </w:r>
    <w:r>
      <w:rPr/>
      <w:instrText> PAGE </w:instrText>
    </w:r>
    <w:r>
      <w:rPr/>
      <w:fldChar w:fldCharType="separate"/>
    </w:r>
    <w:r>
      <w:rPr/>
      <w:t>1</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start"/>
      <w:tblInd w:w="-284" w:type="dxa"/>
      <w:tblLayout w:type="fixed"/>
      <w:tblCellMar>
        <w:top w:w="0" w:type="dxa"/>
        <w:start w:w="108" w:type="dxa"/>
        <w:bottom w:w="0" w:type="dxa"/>
        <w:end w:w="108" w:type="dxa"/>
      </w:tblCellMar>
      <w:tblLook w:firstRow="1" w:noVBand="1" w:lastRow="0" w:firstColumn="1" w:lastColumn="0" w:noHBand="0" w:val="04a0"/>
    </w:tblPr>
    <w:tblGrid>
      <w:gridCol w:w="3336"/>
      <w:gridCol w:w="6019"/>
    </w:tblGrid>
    <w:tr>
      <w:trPr/>
      <w:tc>
        <w:tcPr>
          <w:tcW w:w="3336" w:type="dxa"/>
          <w:tcBorders>
            <w:top w:val="nil"/>
            <w:start w:val="nil"/>
            <w:bottom w:val="nil"/>
            <w:end w:val="nil"/>
          </w:tcBorders>
        </w:tcPr>
        <w:p>
          <w:pPr>
            <w:pStyle w:val="Lfej"/>
            <w:widowControl w:val="false"/>
            <w:suppressAutoHyphens w:val="false"/>
            <w:spacing w:before="0" w:after="0"/>
            <w:jc w:val="center"/>
            <w:rPr>
              <w:rFonts w:ascii="Arial" w:hAnsi="Arial" w:eastAsia="Arial" w:cs="DejaVu Sans"/>
              <w:kern w:val="0"/>
              <w:sz w:val="22"/>
              <w:szCs w:val="22"/>
              <w:lang w:eastAsia="en-US" w:bidi="ar-SA"/>
            </w:rPr>
          </w:pPr>
          <w:r>
            <w:rPr/>
            <w:drawing>
              <wp:inline distT="0" distB="0" distL="0" distR="0">
                <wp:extent cx="1981200" cy="1271905"/>
                <wp:effectExtent l="0" t="0" r="0" b="0"/>
                <wp:docPr id="1" name="Picture 1" descr="A close up of a white card&#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card&#10;&#10;Description automatically generated" title=""/>
                        <pic:cNvPicPr>
                          <a:picLocks noChangeAspect="1" noChangeArrowheads="1"/>
                        </pic:cNvPicPr>
                      </pic:nvPicPr>
                      <pic:blipFill>
                        <a:blip r:embed="rId1"/>
                        <a:srcRect l="0" t="0" r="61976" b="0"/>
                        <a:stretch>
                          <a:fillRect/>
                        </a:stretch>
                      </pic:blipFill>
                      <pic:spPr bwMode="auto">
                        <a:xfrm>
                          <a:off x="0" y="0"/>
                          <a:ext cx="1981200" cy="1271905"/>
                        </a:xfrm>
                        <a:prstGeom prst="rect">
                          <a:avLst/>
                        </a:prstGeom>
                      </pic:spPr>
                    </pic:pic>
                  </a:graphicData>
                </a:graphic>
              </wp:inline>
            </w:drawing>
          </w:r>
        </w:p>
      </w:tc>
      <w:tc>
        <w:tcPr>
          <w:tcW w:w="6019" w:type="dxa"/>
          <w:tcBorders>
            <w:top w:val="nil"/>
            <w:start w:val="nil"/>
            <w:bottom w:val="nil"/>
            <w:end w:val="nil"/>
          </w:tcBorders>
        </w:tcPr>
        <w:p>
          <w:pPr>
            <w:pStyle w:val="Lfej"/>
            <w:widowControl w:val="false"/>
            <w:suppressAutoHyphens w:val="false"/>
            <w:spacing w:before="0" w:after="0"/>
            <w:jc w:val="start"/>
            <w:rPr>
              <w:i/>
              <w:i/>
              <w:sz w:val="26"/>
              <w:szCs w:val="26"/>
            </w:rPr>
          </w:pPr>
          <w:r>
            <w:rPr>
              <w:i/>
              <w:sz w:val="26"/>
              <w:szCs w:val="26"/>
            </w:rPr>
          </w:r>
        </w:p>
        <w:p>
          <w:pPr>
            <w:pStyle w:val="Lfej"/>
            <w:widowControl w:val="false"/>
            <w:suppressAutoHyphens w:val="false"/>
            <w:spacing w:before="0" w:after="0"/>
            <w:jc w:val="start"/>
            <w:rPr>
              <w:rFonts w:ascii="Modern No. 20" w:hAnsi="Modern No. 20" w:cs="Cordia New"/>
              <w:b/>
              <w:b/>
            </w:rPr>
          </w:pPr>
          <w:r>
            <w:rPr>
              <w:rFonts w:eastAsia="Arial" w:cs="Cordia New" w:ascii="Modern No. 20" w:hAnsi="Modern No. 20"/>
              <w:b/>
              <w:kern w:val="0"/>
              <w:sz w:val="22"/>
              <w:szCs w:val="22"/>
              <w:lang w:eastAsia="en-US" w:bidi="ar-SA"/>
            </w:rPr>
            <w:t xml:space="preserve">FACULTATEA DE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TIIN</w:t>
          </w:r>
          <w:r>
            <w:rPr>
              <w:rFonts w:eastAsia="Arial" w:cs="Cambria" w:ascii="Cambria" w:hAnsi="Cambria"/>
              <w:b/>
              <w:kern w:val="0"/>
              <w:sz w:val="22"/>
              <w:szCs w:val="22"/>
              <w:lang w:eastAsia="en-US" w:bidi="ar-SA"/>
            </w:rPr>
            <w:t>Ț</w:t>
          </w:r>
          <w:r>
            <w:rPr>
              <w:rFonts w:eastAsia="Arial" w:cs="Cordia New" w:ascii="Modern No. 20" w:hAnsi="Modern No. 20"/>
              <w:b/>
              <w:kern w:val="0"/>
              <w:sz w:val="22"/>
              <w:szCs w:val="22"/>
              <w:lang w:eastAsia="en-US" w:bidi="ar-SA"/>
            </w:rPr>
            <w:t xml:space="preserve">E ECONOMICA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I SOCIALE</w:t>
          </w:r>
        </w:p>
        <w:p>
          <w:pPr>
            <w:pStyle w:val="Lfej"/>
            <w:widowControl w:val="false"/>
            <w:suppressAutoHyphens w:val="false"/>
            <w:spacing w:before="0" w:after="0"/>
            <w:jc w:val="start"/>
            <w:rPr>
              <w:rFonts w:ascii="Shonar Bangla" w:hAnsi="Shonar Bangla" w:cs="Shonar Bangla"/>
              <w:b/>
              <w:b/>
            </w:rPr>
          </w:pPr>
          <w:r>
            <w:rPr>
              <w:rFonts w:eastAsia="Arial" w:cs="Shonar Bangla" w:ascii="Shonar Bangla" w:hAnsi="Shonar Bangla"/>
              <w:b/>
              <w:kern w:val="0"/>
              <w:sz w:val="22"/>
              <w:szCs w:val="22"/>
              <w:lang w:eastAsia="en-US" w:bidi="ar-SA"/>
            </w:rPr>
            <w:t>DEPARTAMENTUL DE ECONOMIE</w:t>
          </w:r>
        </w:p>
        <w:p>
          <w:pPr>
            <w:pStyle w:val="Lfej"/>
            <w:widowControl w:val="false"/>
            <w:suppressAutoHyphens w:val="false"/>
            <w:spacing w:before="0" w:after="0"/>
            <w:jc w:val="star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star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start"/>
            <w:rPr>
              <w:rFonts w:ascii="Arial Narrow" w:hAnsi="Arial Narrow"/>
              <w:sz w:val="18"/>
              <w:szCs w:val="18"/>
            </w:rPr>
          </w:pPr>
          <w:r>
            <w:rPr>
              <w:rFonts w:eastAsia="Arial" w:cs="DejaVu Sans" w:ascii="Arial Narrow" w:hAnsi="Arial Narrow"/>
              <w:kern w:val="0"/>
              <w:sz w:val="18"/>
              <w:szCs w:val="18"/>
              <w:lang w:eastAsia="en-US" w:bidi="ar-SA"/>
            </w:rPr>
            <w:t>RO-410209 ORADEA, STR. PRIM</w:t>
          </w:r>
          <w:r>
            <w:rPr>
              <w:rFonts w:eastAsia="Arial" w:cs="Arial" w:ascii="Arial Narrow" w:hAnsi="Arial Narrow"/>
              <w:kern w:val="0"/>
              <w:sz w:val="18"/>
              <w:szCs w:val="18"/>
              <w:lang w:eastAsia="en-US" w:bidi="ar-SA"/>
            </w:rPr>
            <w:t>Ă</w:t>
          </w:r>
          <w:r>
            <w:rPr>
              <w:rFonts w:eastAsia="Arial" w:cs="DejaVu Sans" w:ascii="Arial Narrow" w:hAnsi="Arial Narrow"/>
              <w:kern w:val="0"/>
              <w:sz w:val="18"/>
              <w:szCs w:val="18"/>
              <w:lang w:eastAsia="en-US" w:bidi="ar-SA"/>
            </w:rPr>
            <w:t>RIEI 27.</w:t>
          </w:r>
        </w:p>
        <w:p>
          <w:pPr>
            <w:pStyle w:val="Lfej"/>
            <w:widowControl w:val="false"/>
            <w:suppressAutoHyphens w:val="false"/>
            <w:spacing w:before="0" w:after="0"/>
            <w:jc w:val="start"/>
            <w:rPr>
              <w:rFonts w:ascii="Arial Narrow" w:hAnsi="Arial Narrow"/>
              <w:sz w:val="18"/>
              <w:szCs w:val="18"/>
            </w:rPr>
          </w:pPr>
          <w:r>
            <w:rPr>
              <w:rFonts w:eastAsia="Arial" w:cs="DejaVu Sans" w:ascii="Arial Narrow" w:hAnsi="Arial Narrow"/>
              <w:kern w:val="0"/>
              <w:sz w:val="18"/>
              <w:szCs w:val="18"/>
              <w:lang w:eastAsia="en-US" w:bidi="ar-SA"/>
            </w:rPr>
            <w:t>TEL/FAX: (+40) 0259 418.252</w:t>
          </w:r>
        </w:p>
        <w:p>
          <w:pPr>
            <w:pStyle w:val="Lfej"/>
            <w:widowControl w:val="false"/>
            <w:suppressAutoHyphens w:val="false"/>
            <w:spacing w:before="0" w:after="0"/>
            <w:jc w:val="start"/>
            <w:rPr>
              <w:rFonts w:eastAsia="Arial" w:cs="DejaVu Sans"/>
              <w:kern w:val="0"/>
              <w:lang w:eastAsia="en-US" w:bidi="ar-SA"/>
            </w:rPr>
          </w:pPr>
          <w:r>
            <w:rPr>
              <w:rFonts w:eastAsia="Arial" w:cs="DejaVu Sans" w:ascii="Arial Narrow" w:hAnsi="Arial Narrow"/>
              <w:kern w:val="0"/>
              <w:sz w:val="18"/>
              <w:szCs w:val="18"/>
              <w:lang w:eastAsia="en-US" w:bidi="ar-SA"/>
            </w:rPr>
            <w:t>WWW.PARTIUM.RO</w:t>
          </w:r>
        </w:p>
      </w:tc>
    </w:tr>
  </w:tbl>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suff w:val="space"/>
      <w:lvlText w:val="%1."/>
      <w:lvlJc w:val="start"/>
      <w:pPr>
        <w:tabs>
          <w:tab w:val="num" w:pos="0"/>
        </w:tabs>
        <w:ind w:start="0" w:hanging="0"/>
      </w:pPr>
    </w:lvl>
    <w:lvl w:ilvl="1">
      <w:start w:val="1"/>
      <w:pStyle w:val="Cmsor2"/>
      <w:numFmt w:val="decimal"/>
      <w:suff w:val="space"/>
      <w:lvlText w:val="%1.%2."/>
      <w:lvlJc w:val="start"/>
      <w:pPr>
        <w:tabs>
          <w:tab w:val="num" w:pos="0"/>
        </w:tabs>
        <w:ind w:start="0" w:hanging="0"/>
      </w:pPr>
    </w:lvl>
    <w:lvl w:ilvl="2">
      <w:start w:val="1"/>
      <w:pStyle w:val="Cmsor3"/>
      <w:numFmt w:val="decimal"/>
      <w:suff w:val="space"/>
      <w:lvlText w:val="%1.%2.%3."/>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170"/>
        </w:tabs>
        <w:ind w:start="170" w:hanging="170"/>
      </w:pPr>
      <w:rPr>
        <w:rFonts w:ascii="Symbol" w:hAnsi="Symbol" w:cs="Symbol" w:hint="default"/>
      </w:rPr>
    </w:lvl>
    <w:lvl w:ilvl="1">
      <w:start w:val="1"/>
      <w:numFmt w:val="bullet"/>
      <w:lvlText w:val=""/>
      <w:lvlJc w:val="start"/>
      <w:pPr>
        <w:tabs>
          <w:tab w:val="num" w:pos="340"/>
        </w:tabs>
        <w:ind w:start="340" w:hanging="170"/>
      </w:pPr>
      <w:rPr>
        <w:rFonts w:ascii="Symbol" w:hAnsi="Symbol" w:cs="Symbol" w:hint="default"/>
      </w:rPr>
    </w:lvl>
    <w:lvl w:ilvl="2">
      <w:start w:val="1"/>
      <w:numFmt w:val="bullet"/>
      <w:lvlText w:val=""/>
      <w:lvlJc w:val="start"/>
      <w:pPr>
        <w:tabs>
          <w:tab w:val="num" w:pos="510"/>
        </w:tabs>
        <w:ind w:start="510" w:hanging="170"/>
      </w:pPr>
      <w:rPr>
        <w:rFonts w:ascii="Symbol" w:hAnsi="Symbol" w:cs="Symbol" w:hint="default"/>
      </w:rPr>
    </w:lvl>
    <w:lvl w:ilvl="3">
      <w:start w:val="1"/>
      <w:numFmt w:val="bullet"/>
      <w:lvlText w:val=""/>
      <w:lvlJc w:val="start"/>
      <w:pPr>
        <w:tabs>
          <w:tab w:val="num" w:pos="680"/>
        </w:tabs>
        <w:ind w:start="680" w:hanging="170"/>
      </w:pPr>
      <w:rPr>
        <w:rFonts w:ascii="Symbol" w:hAnsi="Symbol" w:cs="Symbol" w:hint="default"/>
      </w:rPr>
    </w:lvl>
    <w:lvl w:ilvl="4">
      <w:start w:val="1"/>
      <w:numFmt w:val="bullet"/>
      <w:lvlText w:val=""/>
      <w:lvlJc w:val="start"/>
      <w:pPr>
        <w:tabs>
          <w:tab w:val="num" w:pos="850"/>
        </w:tabs>
        <w:ind w:start="850" w:hanging="170"/>
      </w:pPr>
      <w:rPr>
        <w:rFonts w:ascii="Symbol" w:hAnsi="Symbol" w:cs="Symbol" w:hint="default"/>
      </w:rPr>
    </w:lvl>
    <w:lvl w:ilvl="5">
      <w:start w:val="1"/>
      <w:numFmt w:val="bullet"/>
      <w:lvlText w:val=""/>
      <w:lvlJc w:val="start"/>
      <w:pPr>
        <w:tabs>
          <w:tab w:val="num" w:pos="1020"/>
        </w:tabs>
        <w:ind w:start="1020" w:hanging="170"/>
      </w:pPr>
      <w:rPr>
        <w:rFonts w:ascii="Symbol" w:hAnsi="Symbol" w:cs="Symbol" w:hint="default"/>
      </w:rPr>
    </w:lvl>
    <w:lvl w:ilvl="6">
      <w:start w:val="1"/>
      <w:numFmt w:val="bullet"/>
      <w:lvlText w:val=""/>
      <w:lvlJc w:val="start"/>
      <w:pPr>
        <w:tabs>
          <w:tab w:val="num" w:pos="1191"/>
        </w:tabs>
        <w:ind w:start="1191" w:hanging="170"/>
      </w:pPr>
      <w:rPr>
        <w:rFonts w:ascii="Symbol" w:hAnsi="Symbol" w:cs="Symbol" w:hint="default"/>
      </w:rPr>
    </w:lvl>
    <w:lvl w:ilvl="7">
      <w:start w:val="1"/>
      <w:numFmt w:val="bullet"/>
      <w:lvlText w:val=""/>
      <w:lvlJc w:val="start"/>
      <w:pPr>
        <w:tabs>
          <w:tab w:val="num" w:pos="1361"/>
        </w:tabs>
        <w:ind w:start="1361" w:hanging="170"/>
      </w:pPr>
      <w:rPr>
        <w:rFonts w:ascii="Symbol" w:hAnsi="Symbol" w:cs="Symbol" w:hint="default"/>
      </w:rPr>
    </w:lvl>
    <w:lvl w:ilvl="8">
      <w:start w:val="1"/>
      <w:numFmt w:val="bullet"/>
      <w:lvlText w:val=""/>
      <w:lvlJc w:val="start"/>
      <w:pPr>
        <w:tabs>
          <w:tab w:val="num" w:pos="1531"/>
        </w:tabs>
        <w:ind w:start="1531" w:hanging="170"/>
      </w:pPr>
      <w:rPr>
        <w:rFonts w:ascii="Symbol" w:hAnsi="Symbol" w:cs="Symbol" w:hint="default"/>
      </w:rPr>
    </w:lvl>
  </w:abstractNum>
  <w:abstractNum w:abstractNumId="3">
    <w:lvl w:ilvl="0">
      <w:start w:val="3"/>
      <w:numFmt w:val="decimal"/>
      <w:lvlText w:val="%1"/>
      <w:lvlJc w:val="start"/>
      <w:pPr>
        <w:tabs>
          <w:tab w:val="num" w:pos="0"/>
        </w:tabs>
        <w:ind w:start="600" w:hanging="600"/>
      </w:pPr>
    </w:lvl>
    <w:lvl w:ilvl="1">
      <w:start w:val="2"/>
      <w:numFmt w:val="decimal"/>
      <w:lvlText w:val="%1.%2"/>
      <w:lvlJc w:val="start"/>
      <w:pPr>
        <w:tabs>
          <w:tab w:val="num" w:pos="0"/>
        </w:tabs>
        <w:ind w:start="600" w:hanging="600"/>
      </w:pPr>
    </w:lvl>
    <w:lvl w:ilvl="2">
      <w:start w:val="3"/>
      <w:numFmt w:val="decimal"/>
      <w:lvlText w:val="%1.%2.%3"/>
      <w:lvlJc w:val="start"/>
      <w:pPr>
        <w:tabs>
          <w:tab w:val="num" w:pos="0"/>
        </w:tabs>
        <w:ind w:start="720" w:hanging="720"/>
      </w:pPr>
    </w:lvl>
    <w:lvl w:ilvl="3">
      <w:start w:val="1"/>
      <w:numFmt w:val="decimal"/>
      <w:lvlText w:val="%1.%2.%3.%4"/>
      <w:lvlJc w:val="start"/>
      <w:pPr>
        <w:tabs>
          <w:tab w:val="num" w:pos="0"/>
        </w:tabs>
        <w:ind w:start="1080" w:hanging="1080"/>
      </w:pPr>
    </w:lvl>
    <w:lvl w:ilvl="4">
      <w:start w:val="1"/>
      <w:numFmt w:val="decimal"/>
      <w:lvlText w:val="%1.%2.%3.%4.%5"/>
      <w:lvlJc w:val="start"/>
      <w:pPr>
        <w:tabs>
          <w:tab w:val="num" w:pos="0"/>
        </w:tabs>
        <w:ind w:start="1080" w:hanging="1080"/>
      </w:pPr>
    </w:lvl>
    <w:lvl w:ilvl="5">
      <w:start w:val="1"/>
      <w:numFmt w:val="decimal"/>
      <w:lvlText w:val="%1.%2.%3.%4.%5.%6"/>
      <w:lvlJc w:val="start"/>
      <w:pPr>
        <w:tabs>
          <w:tab w:val="num" w:pos="0"/>
        </w:tabs>
        <w:ind w:start="1440" w:hanging="1440"/>
      </w:pPr>
    </w:lvl>
    <w:lvl w:ilvl="6">
      <w:start w:val="1"/>
      <w:numFmt w:val="decimal"/>
      <w:lvlText w:val="%1.%2.%3.%4.%5.%6.%7"/>
      <w:lvlJc w:val="start"/>
      <w:pPr>
        <w:tabs>
          <w:tab w:val="num" w:pos="0"/>
        </w:tabs>
        <w:ind w:start="1440" w:hanging="1440"/>
      </w:pPr>
    </w:lvl>
    <w:lvl w:ilvl="7">
      <w:start w:val="1"/>
      <w:numFmt w:val="decimal"/>
      <w:lvlText w:val="%1.%2.%3.%4.%5.%6.%7.%8"/>
      <w:lvlJc w:val="start"/>
      <w:pPr>
        <w:tabs>
          <w:tab w:val="num" w:pos="0"/>
        </w:tabs>
        <w:ind w:start="1800" w:hanging="1800"/>
      </w:pPr>
    </w:lvl>
    <w:lvl w:ilvl="8">
      <w:start w:val="1"/>
      <w:numFmt w:val="decimal"/>
      <w:lvlText w:val="%1.%2.%3.%4.%5.%6.%7.%8.%9"/>
      <w:lvlJc w:val="start"/>
      <w:pPr>
        <w:tabs>
          <w:tab w:val="num" w:pos="0"/>
        </w:tabs>
        <w:ind w:start="2160"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Times New Roman" w:hAnsi="Times New Roman" w:eastAsia="Noto Serif CJK SC" w:cs="Noto Sans Devanagari"/>
      <w:color w:val="auto"/>
      <w:kern w:val="2"/>
      <w:sz w:val="24"/>
      <w:szCs w:val="24"/>
      <w:lang w:val="ro-RO" w:eastAsia="zh-CN" w:bidi="hi-IN"/>
    </w:rPr>
  </w:style>
  <w:style w:type="paragraph" w:styleId="Cmsor1">
    <w:name w:val="Heading 1"/>
    <w:basedOn w:val="Cmsor"/>
    <w:next w:val="Szvegtrzs"/>
    <w:uiPriority w:val="9"/>
    <w:qFormat/>
    <w:pPr>
      <w:numPr>
        <w:ilvl w:val="0"/>
        <w:numId w:val="1"/>
      </w:numPr>
      <w:spacing w:before="238" w:after="170"/>
      <w:outlineLvl w:val="0"/>
    </w:pPr>
    <w:rPr>
      <w:b/>
      <w:bCs/>
      <w:szCs w:val="36"/>
    </w:rPr>
  </w:style>
  <w:style w:type="paragraph" w:styleId="Cmsor2">
    <w:name w:val="Heading 2"/>
    <w:basedOn w:val="Cmsor"/>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Cmsor"/>
    <w:next w:val="Szvegtrzs"/>
    <w:uiPriority w:val="9"/>
    <w:unhideWhenUsed/>
    <w:qFormat/>
    <w:pPr>
      <w:numPr>
        <w:ilvl w:val="2"/>
        <w:numId w:val="1"/>
      </w:numPr>
      <w:spacing w:before="142" w:after="170"/>
      <w:outlineLvl w:val="2"/>
    </w:pPr>
    <w:rPr>
      <w:bCs/>
      <w:i/>
      <w:sz w:val="24"/>
    </w:rPr>
  </w:style>
  <w:style w:type="character" w:styleId="DefaultParagraphFont" w:default="1">
    <w:name w:val="Default Paragraph Font"/>
    <w:uiPriority w:val="1"/>
    <w:semiHidden/>
    <w:unhideWhenUsed/>
    <w:qFormat/>
    <w:rPr/>
  </w:style>
  <w:style w:type="character" w:styleId="Szmozsjelek" w:customStyle="1">
    <w:name w:val="Számozásjelek"/>
    <w:qFormat/>
    <w:rPr/>
  </w:style>
  <w:style w:type="character" w:styleId="Internethivatkozs" w:customStyle="1">
    <w:name w:val="Internet-hivatkozás"/>
    <w:rPr>
      <w:color w:val="000080"/>
      <w:u w:val="single"/>
    </w:rPr>
  </w:style>
  <w:style w:type="character" w:styleId="HeaderChar" w:customStyle="1">
    <w:name w:val="Header Char"/>
    <w:basedOn w:val="DefaultParagraphFont"/>
    <w:link w:val="Header"/>
    <w:uiPriority w:val="99"/>
    <w:qFormat/>
    <w:rsid w:val="00431c9b"/>
    <w:rPr>
      <w:lang w:val="ro-RO"/>
    </w:rPr>
  </w:style>
  <w:style w:type="paragraph" w:styleId="Cmsor" w:customStyle="1">
    <w:name w:val="Címsor"/>
    <w:basedOn w:val="Normal"/>
    <w:next w:val="Szvegtrzs"/>
    <w:qFormat/>
    <w:pPr>
      <w:keepNext w:val="true"/>
      <w:spacing w:before="240" w:after="120"/>
    </w:pPr>
    <w:rPr>
      <w:rFonts w:eastAsia="Noto Sans CJK SC"/>
      <w:sz w:val="28"/>
      <w:szCs w:val="28"/>
    </w:rPr>
  </w:style>
  <w:style w:type="paragraph" w:styleId="Szvegtrzs">
    <w:name w:val="Body Text"/>
    <w:basedOn w:val="Normal"/>
    <w:pPr>
      <w:suppressAutoHyphens w:val="false"/>
      <w:spacing w:lineRule="auto" w:line="276" w:before="0" w:after="140"/>
    </w:pPr>
    <w:rPr/>
  </w:style>
  <w:style w:type="paragraph" w:styleId="List">
    <w:name w:val="List"/>
    <w:basedOn w:val="Szvegtrzs"/>
    <w:pPr/>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style>
  <w:style w:type="paragraph" w:styleId="Caption">
    <w:name w:val="caption"/>
    <w:basedOn w:val="Normal"/>
    <w:qFormat/>
    <w:pPr>
      <w:suppressLineNumbers/>
      <w:spacing w:before="120" w:after="120"/>
    </w:pPr>
    <w:rPr>
      <w:i/>
      <w:iCs/>
    </w:rPr>
  </w:style>
  <w:style w:type="paragraph" w:styleId="Cm">
    <w:name w:val="Title"/>
    <w:basedOn w:val="Cmsor"/>
    <w:next w:val="Szvegtrzs"/>
    <w:uiPriority w:val="10"/>
    <w:qFormat/>
    <w:pPr>
      <w:spacing w:lineRule="auto" w:line="276" w:before="283" w:after="567"/>
      <w:jc w:val="center"/>
    </w:pPr>
    <w:rPr>
      <w:b/>
      <w:bCs/>
      <w:sz w:val="32"/>
      <w:szCs w:val="56"/>
    </w:rPr>
  </w:style>
  <w:style w:type="paragraph" w:styleId="Szvegtrzsbehzsa">
    <w:name w:val="Body Text Indent"/>
    <w:basedOn w:val="Szvegtrzs"/>
    <w:qFormat/>
    <w:pPr>
      <w:ind w:firstLine="283"/>
    </w:pPr>
    <w:rPr/>
  </w:style>
  <w:style w:type="paragraph" w:styleId="ListBullet">
    <w:name w:val="List Bullet"/>
    <w:basedOn w:val="List"/>
    <w:qFormat/>
    <w:pPr>
      <w:spacing w:before="0" w:after="120"/>
      <w:ind w:start="360" w:hanging="360"/>
    </w:pPr>
    <w:rPr/>
  </w:style>
  <w:style w:type="paragraph" w:styleId="List1Start" w:customStyle="1">
    <w:name w:val="List 1 Start"/>
    <w:basedOn w:val="List"/>
    <w:next w:val="ListBullet"/>
    <w:qFormat/>
    <w:pPr>
      <w:spacing w:before="240" w:after="120"/>
      <w:ind w:start="360" w:hanging="360"/>
    </w:pPr>
    <w:rPr/>
  </w:style>
  <w:style w:type="paragraph" w:styleId="Tblzattartalom" w:customStyle="1">
    <w:name w:val="Táblázattartalom"/>
    <w:basedOn w:val="Normal"/>
    <w:qFormat/>
    <w:pPr>
      <w:suppressLineNumbers/>
      <w:spacing w:lineRule="auto" w:line="276"/>
    </w:pPr>
    <w:rPr>
      <w:sz w:val="20"/>
    </w:rPr>
  </w:style>
  <w:style w:type="paragraph" w:styleId="Tblzatfejlc" w:customStyle="1">
    <w:name w:val="Táblázatfejléc"/>
    <w:basedOn w:val="Tblzattartalom"/>
    <w:qFormat/>
    <w:pPr>
      <w:jc w:val="center"/>
    </w:pPr>
    <w:rPr>
      <w:b/>
      <w:bCs/>
    </w:rPr>
  </w:style>
  <w:style w:type="paragraph" w:styleId="Listatartalom" w:customStyle="1">
    <w:name w:val="Listatartalom"/>
    <w:basedOn w:val="Normal"/>
    <w:qFormat/>
    <w:pPr>
      <w:spacing w:lineRule="auto" w:line="276" w:before="0" w:after="113"/>
      <w:ind w:start="567" w:hanging="0"/>
      <w:contextualSpacing/>
    </w:pPr>
    <w:rPr/>
  </w:style>
  <w:style w:type="paragraph" w:styleId="Lfejsllb" w:customStyle="1">
    <w:name w:val="Élőfej és élőláb"/>
    <w:basedOn w:val="Normal"/>
    <w:qFormat/>
    <w:pPr>
      <w:suppressLineNumbers/>
      <w:tabs>
        <w:tab w:val="clear" w:pos="709"/>
        <w:tab w:val="center" w:pos="4819" w:leader="none"/>
        <w:tab w:val="right" w:pos="9638" w:leader="none"/>
      </w:tabs>
    </w:pPr>
    <w:rPr/>
  </w:style>
  <w:style w:type="paragraph" w:styleId="Lfej">
    <w:name w:val="Header"/>
    <w:basedOn w:val="Lfejsllb"/>
    <w:link w:val="HeaderChar"/>
    <w:uiPriority w:val="99"/>
    <w:pPr/>
    <w:rPr/>
  </w:style>
  <w:style w:type="paragraph" w:styleId="HeaderLeft" w:customStyle="1">
    <w:name w:val="Header Left"/>
    <w:basedOn w:val="Lfej"/>
    <w:qFormat/>
    <w:pPr/>
    <w:rPr/>
  </w:style>
  <w:style w:type="paragraph" w:styleId="Elformzottszveg" w:customStyle="1">
    <w:name w:val="Előformázott szöveg"/>
    <w:basedOn w:val="Normal"/>
    <w:qFormat/>
    <w:pPr/>
    <w:rPr>
      <w:rFonts w:ascii="Liberation Mono" w:hAnsi="Liberation Mono" w:eastAsia="Noto Sans Mono CJK SC" w:cs="Liberation Mono"/>
      <w:sz w:val="20"/>
      <w:szCs w:val="20"/>
    </w:rPr>
  </w:style>
  <w:style w:type="paragraph" w:styleId="Llb">
    <w:name w:val="Footer"/>
    <w:basedOn w:val="Lfejsllb"/>
    <w:pPr/>
    <w:rPr/>
  </w:style>
  <w:style w:type="paragraph" w:styleId="TableParagraph" w:customStyle="1">
    <w:name w:val="Table Paragraph"/>
    <w:basedOn w:val="Normal"/>
    <w:qFormat/>
    <w:pPr>
      <w:spacing w:before="55" w:after="0"/>
      <w:ind w:start="48" w:hanging="0"/>
    </w:pPr>
    <w:rPr/>
  </w:style>
  <w:style w:type="paragraph" w:styleId="NormalWeb">
    <w:name w:val="Normal (Web)"/>
    <w:basedOn w:val="Normal"/>
    <w:uiPriority w:val="99"/>
    <w:semiHidden/>
    <w:unhideWhenUsed/>
    <w:qFormat/>
    <w:rsid w:val="00431c9b"/>
    <w:pPr>
      <w:suppressAutoHyphens w:val="false"/>
      <w:spacing w:beforeAutospacing="1" w:afterAutospacing="1"/>
    </w:pPr>
    <w:rPr>
      <w:rFonts w:eastAsia="Times New Roman" w:cs="Times New Roman"/>
      <w:kern w:val="0"/>
      <w:lang w:val="en-GB" w:eastAsia="en-GB" w:bidi="ar-SA"/>
    </w:rPr>
  </w:style>
  <w:style w:type="numbering" w:styleId="NoList" w:default="1">
    <w:name w:val="No List"/>
    <w:uiPriority w:val="99"/>
    <w:semiHidden/>
    <w:unhideWhenUsed/>
    <w:qFormat/>
  </w:style>
  <w:style w:type="numbering" w:styleId="Bullet" w:customStyle="1">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31c9b"/>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ac3.partium.qulto.ro/ro/search" TargetMode="External"/><Relationship Id="rId3" Type="http://schemas.openxmlformats.org/officeDocument/2006/relationships/hyperlink" Target="https://sites.google.com/partium.ro/resursestiinific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LibreOffice/7.1.1.2$Windows_X86_64 LibreOffice_project/fe0b08f4af1bacafe4c7ecc87ce55bb426164676</Application>
  <AppVersion>15.0000</AppVersion>
  <Pages>7</Pages>
  <Words>1898</Words>
  <Characters>11304</Characters>
  <CharactersWithSpaces>12927</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2024-09-10T19:14:44Z</dcterms:modified>
  <cp:revision>356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a8f3fbe4526791ada11d332d067f2b24629d8bb290426723ecaddb9959b1dfc4</vt:lpwstr>
  </property>
</Properties>
</file>