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FA0367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5307"/>
      </w:tblGrid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E0736B" w:rsidRPr="00FA0367" w:rsidTr="00E958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E0736B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B94282" w:rsidP="00611E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B9428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conferen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iar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B9428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Matematică – învățământ primar și preșcolar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Didactica matematicii în învățământul preșcolar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pedagogică III. (învățământ preșcolar 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Didactica matematicii în învățământul primar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pedagogică V. (învățământ primar 2.)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pedagogică VI. (învățământ preșcolar 2.)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9428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9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ș</w:t>
            </w: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tiin</w:t>
            </w:r>
            <w:r w:rsidR="00B9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ț</w:t>
            </w: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ific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B41A3F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educației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D279F" w:rsidRDefault="009D279F" w:rsidP="00B9428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prevăzut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funcții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Facultății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Disciplinele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aferente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cuprinse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învățământ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licență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specializarea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Pedagogia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învățământului primar și preșcolar,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totaliz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ând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un număr de </w:t>
            </w:r>
            <w:r w:rsid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convenționale pe săptămână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9428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</w:t>
            </w:r>
            <w:r w:rsidR="00B9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ț</w:t>
            </w: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</w:t>
            </w:r>
            <w:r w:rsidR="00B9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ăț</w:t>
            </w: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Norma didactică: </w:t>
            </w:r>
            <w:r w:rsidR="00B94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ore/săptămână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Susţinerea orelor de curs şi seminar, în conformitate cu planul de învăţământ şi fişele disciplinelor. </w:t>
            </w:r>
          </w:p>
          <w:p w:rsidR="00611E35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Verificarea studenţilor pe parcurs şi evaluarea finală. 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3. Îndrumarea studenţilor pentru elaborarea lucrărilor de licenţă. 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4. Coordonarea unor lucrări ştiinţifice studenţeşti. 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5. Participarea la activitatea de cercetare ştiinţifică a departamentului şi publicarea de lucrări ştiinţifice. </w:t>
            </w:r>
          </w:p>
          <w:p w:rsidR="00BD0DAB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6. Participarea directă la toate activităţile departamentului, ale facultăţii şi ale Universităţii.</w:t>
            </w:r>
          </w:p>
          <w:p w:rsidR="00B41A3F" w:rsidRDefault="00B41A3F" w:rsidP="00B41A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7. A</w:t>
            </w:r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ctivitate în comisii (admitere, finalizare a studiilor), alte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</w:t>
            </w:r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ctivităţi stabil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ite de managementul universitar.</w:t>
            </w:r>
          </w:p>
          <w:p w:rsidR="00B41A3F" w:rsidRPr="009D279F" w:rsidRDefault="00B41A3F" w:rsidP="00B41A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ctivităţi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pregătire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metodică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413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D279F" w:rsidRDefault="00611E3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29.01.2024.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Ora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611E35" w:rsidP="00B41A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B41A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2" w:rsidRDefault="00E958F2" w:rsidP="00E958F2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Dosarul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evaluare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activit</w:t>
            </w:r>
            <w:r>
              <w:rPr>
                <w:rFonts w:hAnsi="Times New Roman"/>
                <w:sz w:val="24"/>
                <w:szCs w:val="24"/>
                <w:lang w:val="fr-FR"/>
              </w:rPr>
              <w:t>ăț</w:t>
            </w:r>
            <w:r>
              <w:rPr>
                <w:rFonts w:ascii="Times New Roman"/>
                <w:sz w:val="24"/>
                <w:szCs w:val="24"/>
                <w:lang w:val="fr-FR"/>
              </w:rPr>
              <w:t>ii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pedagogice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profesionale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lang w:val="fr-FR"/>
              </w:rPr>
              <w:t>ș</w:t>
            </w:r>
            <w:r>
              <w:rPr>
                <w:rFonts w:ascii="Times New Roman"/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cercetare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>/</w:t>
            </w:r>
          </w:p>
          <w:p w:rsidR="008A6652" w:rsidRPr="009D279F" w:rsidRDefault="00E958F2" w:rsidP="00E958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/>
                <w:sz w:val="24"/>
                <w:szCs w:val="24"/>
                <w:lang w:val="da-DK"/>
              </w:rPr>
              <w:t>Sus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>inerea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candidatul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prezint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anterioare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carierei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universitare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F2" w:rsidRDefault="00E958F2" w:rsidP="00E958F2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Evaluarea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dosarului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candidatului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</w:t>
            </w:r>
            <w:r>
              <w:rPr>
                <w:rFonts w:hAnsi="Times New Roman"/>
                <w:sz w:val="24"/>
                <w:szCs w:val="24"/>
                <w:lang w:val="fr-FR"/>
              </w:rPr>
              <w:t>ă</w:t>
            </w:r>
            <w:r>
              <w:rPr>
                <w:rFonts w:ascii="Times New Roman"/>
                <w:sz w:val="24"/>
                <w:szCs w:val="24"/>
                <w:lang w:val="fr-FR"/>
              </w:rPr>
              <w:t>tre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specialitate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lang w:val="fr-FR"/>
              </w:rPr>
              <w:t>ș</w:t>
            </w:r>
            <w:r>
              <w:rPr>
                <w:rFonts w:ascii="Times New Roman"/>
                <w:sz w:val="24"/>
                <w:szCs w:val="24"/>
                <w:lang w:val="fr-FR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verificarea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  <w:lang w:val="fr-FR"/>
              </w:rPr>
              <w:t>î</w:t>
            </w:r>
            <w:r>
              <w:rPr>
                <w:rFonts w:ascii="Times New Roman"/>
                <w:sz w:val="24"/>
                <w:szCs w:val="24"/>
                <w:lang w:val="fr-FR"/>
              </w:rPr>
              <w:t>ndeplinirii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criteriilor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minime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ocuparea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postului</w:t>
            </w:r>
            <w:proofErr w:type="spellEnd"/>
          </w:p>
          <w:p w:rsidR="00BD0DAB" w:rsidRPr="00FA0367" w:rsidRDefault="00E958F2" w:rsidP="00E958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anterioare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ale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carierei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universitare</w:t>
            </w:r>
            <w:proofErr w:type="spellEnd"/>
          </w:p>
        </w:tc>
      </w:tr>
    </w:tbl>
    <w:p w:rsidR="00980092" w:rsidRPr="00FA0367" w:rsidRDefault="00980092"/>
    <w:sectPr w:rsidR="00980092" w:rsidRPr="00FA0367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E31"/>
    <w:multiLevelType w:val="hybridMultilevel"/>
    <w:tmpl w:val="47CA7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0CAAF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42526"/>
    <w:rsid w:val="001E046F"/>
    <w:rsid w:val="002711F9"/>
    <w:rsid w:val="002A3196"/>
    <w:rsid w:val="00320536"/>
    <w:rsid w:val="003A6E8B"/>
    <w:rsid w:val="003F7F83"/>
    <w:rsid w:val="004430C3"/>
    <w:rsid w:val="005B7BEE"/>
    <w:rsid w:val="00611E35"/>
    <w:rsid w:val="008A6652"/>
    <w:rsid w:val="00902785"/>
    <w:rsid w:val="00927494"/>
    <w:rsid w:val="00980092"/>
    <w:rsid w:val="009C4F97"/>
    <w:rsid w:val="009D279F"/>
    <w:rsid w:val="009E0BE7"/>
    <w:rsid w:val="00B41A3F"/>
    <w:rsid w:val="00B94282"/>
    <w:rsid w:val="00BD0DAB"/>
    <w:rsid w:val="00E0736B"/>
    <w:rsid w:val="00E958F2"/>
    <w:rsid w:val="00F54D9C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E95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E95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2023-12-11T09:44:00Z</dcterms:created>
  <dcterms:modified xsi:type="dcterms:W3CDTF">2023-12-11T09:44:00Z</dcterms:modified>
</cp:coreProperties>
</file>